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840CF5" w14:textId="09D67130" w:rsidR="00A02DDD" w:rsidRPr="00A02DDD" w:rsidRDefault="00A02DDD" w:rsidP="00A02DDD">
      <w:pPr>
        <w:rPr>
          <w:rFonts w:ascii="Avenir Book" w:eastAsia="Times New Roman" w:hAnsi="Avenir Book" w:cs="Times New Roman"/>
          <w:b/>
          <w:sz w:val="28"/>
          <w:szCs w:val="28"/>
        </w:rPr>
      </w:pPr>
      <w:r w:rsidRPr="00A02DDD">
        <w:rPr>
          <w:rFonts w:ascii="Avenir Book" w:eastAsia="Times New Roman" w:hAnsi="Avenir Book" w:cs="Times New Roman"/>
          <w:b/>
          <w:color w:val="333333"/>
          <w:sz w:val="28"/>
          <w:szCs w:val="28"/>
          <w:shd w:val="clear" w:color="auto" w:fill="FFFFFF"/>
        </w:rPr>
        <w:t>Scaling Small; Or How to Imagine New Relationalities for Knowledge Production</w:t>
      </w:r>
    </w:p>
    <w:p w14:paraId="0F3CFA1A" w14:textId="77777777" w:rsidR="00A02DDD" w:rsidRDefault="00A02DDD" w:rsidP="00A02DDD">
      <w:pPr>
        <w:pStyle w:val="bodytext"/>
        <w:shd w:val="clear" w:color="auto" w:fill="FFFFFF"/>
        <w:spacing w:before="0" w:beforeAutospacing="0" w:after="158" w:afterAutospacing="0" w:line="360" w:lineRule="auto"/>
        <w:jc w:val="both"/>
        <w:rPr>
          <w:rFonts w:ascii="Avenir Book" w:hAnsi="Avenir Book"/>
          <w:color w:val="000000" w:themeColor="text1"/>
        </w:rPr>
      </w:pPr>
    </w:p>
    <w:p w14:paraId="69959462" w14:textId="063A8CEC" w:rsidR="00A02DDD" w:rsidRDefault="00A02DDD" w:rsidP="00A02DDD">
      <w:pPr>
        <w:pStyle w:val="bodytext"/>
        <w:shd w:val="clear" w:color="auto" w:fill="FFFFFF"/>
        <w:spacing w:before="0" w:beforeAutospacing="0" w:after="158" w:afterAutospacing="0" w:line="360" w:lineRule="auto"/>
        <w:jc w:val="both"/>
        <w:rPr>
          <w:rFonts w:ascii="Avenir Book" w:hAnsi="Avenir Book"/>
          <w:color w:val="000000" w:themeColor="text1"/>
        </w:rPr>
      </w:pPr>
      <w:r w:rsidRPr="006B32E2">
        <w:rPr>
          <w:rFonts w:ascii="Avenir Book" w:hAnsi="Avenir Book"/>
          <w:noProof/>
          <w:color w:val="000000" w:themeColor="text1"/>
        </w:rPr>
        <w:drawing>
          <wp:inline distT="0" distB="0" distL="0" distR="0" wp14:anchorId="021A932E" wp14:editId="7FF21C74">
            <wp:extent cx="3958634" cy="2226733"/>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986719" cy="2242531"/>
                    </a:xfrm>
                    <a:prstGeom prst="rect">
                      <a:avLst/>
                    </a:prstGeom>
                  </pic:spPr>
                </pic:pic>
              </a:graphicData>
            </a:graphic>
          </wp:inline>
        </w:drawing>
      </w:r>
    </w:p>
    <w:p w14:paraId="2A6A663E" w14:textId="77777777" w:rsidR="00A02DDD" w:rsidRDefault="00A02DDD" w:rsidP="00A02DDD">
      <w:pPr>
        <w:pStyle w:val="bodytext"/>
        <w:shd w:val="clear" w:color="auto" w:fill="FFFFFF"/>
        <w:spacing w:before="0" w:beforeAutospacing="0" w:after="158" w:afterAutospacing="0" w:line="360" w:lineRule="auto"/>
        <w:jc w:val="both"/>
        <w:rPr>
          <w:rFonts w:ascii="Avenir Book" w:hAnsi="Avenir Book"/>
          <w:color w:val="000000" w:themeColor="text1"/>
        </w:rPr>
      </w:pPr>
      <w:r>
        <w:rPr>
          <w:rFonts w:ascii="Avenir Book" w:hAnsi="Avenir Book"/>
          <w:color w:val="000000" w:themeColor="text1"/>
        </w:rPr>
        <w:t>The problem relates to papers I have previously given in relation to notions</w:t>
      </w:r>
      <w:r w:rsidRPr="00134C2B">
        <w:rPr>
          <w:rFonts w:ascii="Avenir Book" w:hAnsi="Avenir Book"/>
          <w:color w:val="000000" w:themeColor="text1"/>
        </w:rPr>
        <w:t xml:space="preserve"> of sustainability in relation to open access book publishing and </w:t>
      </w:r>
      <w:r>
        <w:rPr>
          <w:rFonts w:ascii="Avenir Book" w:hAnsi="Avenir Book"/>
          <w:color w:val="000000" w:themeColor="text1"/>
        </w:rPr>
        <w:t>the models which require that we have to pay fees to publishers to publish in open access</w:t>
      </w:r>
      <w:r w:rsidRPr="00134C2B">
        <w:rPr>
          <w:rFonts w:ascii="Avenir Book" w:hAnsi="Avenir Book"/>
          <w:color w:val="000000" w:themeColor="text1"/>
        </w:rPr>
        <w:t xml:space="preserve"> more in specific, where the premise seems to be that in order to move beyond </w:t>
      </w:r>
      <w:r>
        <w:rPr>
          <w:rFonts w:ascii="Avenir Book" w:hAnsi="Avenir Book"/>
          <w:color w:val="000000" w:themeColor="text1"/>
        </w:rPr>
        <w:t>these proposed fee-based models</w:t>
      </w:r>
      <w:r w:rsidRPr="00134C2B">
        <w:rPr>
          <w:rFonts w:ascii="Avenir Book" w:hAnsi="Avenir Book"/>
          <w:color w:val="000000" w:themeColor="text1"/>
        </w:rPr>
        <w:t xml:space="preserve"> we need </w:t>
      </w:r>
      <w:r>
        <w:rPr>
          <w:rFonts w:ascii="Avenir Book" w:hAnsi="Avenir Book"/>
          <w:color w:val="000000" w:themeColor="text1"/>
        </w:rPr>
        <w:t>to find a ‘sustainable and scal</w:t>
      </w:r>
      <w:r w:rsidRPr="00134C2B">
        <w:rPr>
          <w:rFonts w:ascii="Avenir Book" w:hAnsi="Avenir Book"/>
          <w:color w:val="000000" w:themeColor="text1"/>
        </w:rPr>
        <w:t>able’ alternative, which is</w:t>
      </w:r>
      <w:r>
        <w:rPr>
          <w:rFonts w:ascii="Avenir Book" w:hAnsi="Avenir Book"/>
          <w:color w:val="000000" w:themeColor="text1"/>
        </w:rPr>
        <w:t xml:space="preserve"> literally the title of about every other workshop/seminar/symposium I am asked to attend around open access publishing</w:t>
      </w:r>
      <w:r w:rsidRPr="00134C2B">
        <w:rPr>
          <w:rFonts w:ascii="Avenir Book" w:hAnsi="Avenir Book"/>
          <w:color w:val="000000" w:themeColor="text1"/>
        </w:rPr>
        <w:t xml:space="preserve">. Yet we need to keep in mind that the argument of ‘sustainability’ has been used previously to discredit open access: that it won’t work as it would never be sustainable and/or </w:t>
      </w:r>
      <w:proofErr w:type="spellStart"/>
      <w:r w:rsidRPr="00134C2B">
        <w:rPr>
          <w:rFonts w:ascii="Avenir Book" w:hAnsi="Avenir Book"/>
          <w:color w:val="000000" w:themeColor="text1"/>
        </w:rPr>
        <w:t>scaleable</w:t>
      </w:r>
      <w:proofErr w:type="spellEnd"/>
      <w:r w:rsidRPr="00134C2B">
        <w:rPr>
          <w:rFonts w:ascii="Avenir Book" w:hAnsi="Avenir Book"/>
          <w:color w:val="000000" w:themeColor="text1"/>
        </w:rPr>
        <w:t>. But what does sustainability</w:t>
      </w:r>
      <w:r>
        <w:rPr>
          <w:rFonts w:ascii="Avenir Book" w:hAnsi="Avenir Book"/>
          <w:color w:val="000000" w:themeColor="text1"/>
        </w:rPr>
        <w:t xml:space="preserve"> or </w:t>
      </w:r>
      <w:proofErr w:type="spellStart"/>
      <w:r>
        <w:rPr>
          <w:rFonts w:ascii="Avenir Book" w:hAnsi="Avenir Book"/>
          <w:color w:val="000000" w:themeColor="text1"/>
        </w:rPr>
        <w:t>scaleability</w:t>
      </w:r>
      <w:proofErr w:type="spellEnd"/>
      <w:r w:rsidRPr="00134C2B">
        <w:rPr>
          <w:rFonts w:ascii="Avenir Book" w:hAnsi="Avenir Book"/>
          <w:color w:val="000000" w:themeColor="text1"/>
        </w:rPr>
        <w:t xml:space="preserve"> actually mean within different </w:t>
      </w:r>
      <w:r>
        <w:rPr>
          <w:rFonts w:ascii="Avenir Book" w:hAnsi="Avenir Book"/>
          <w:color w:val="000000" w:themeColor="text1"/>
        </w:rPr>
        <w:t xml:space="preserve">academic publishing </w:t>
      </w:r>
      <w:r w:rsidRPr="00134C2B">
        <w:rPr>
          <w:rFonts w:ascii="Avenir Book" w:hAnsi="Avenir Book"/>
          <w:color w:val="000000" w:themeColor="text1"/>
        </w:rPr>
        <w:t xml:space="preserve">contexts. Does </w:t>
      </w:r>
      <w:r>
        <w:rPr>
          <w:rFonts w:ascii="Avenir Book" w:hAnsi="Avenir Book"/>
          <w:color w:val="000000" w:themeColor="text1"/>
        </w:rPr>
        <w:t>it</w:t>
      </w:r>
      <w:r w:rsidRPr="00134C2B">
        <w:rPr>
          <w:rFonts w:ascii="Avenir Book" w:hAnsi="Avenir Book"/>
          <w:color w:val="000000" w:themeColor="text1"/>
        </w:rPr>
        <w:t xml:space="preserve"> depend on a single model being sustainable</w:t>
      </w:r>
      <w:r>
        <w:rPr>
          <w:rFonts w:ascii="Avenir Book" w:hAnsi="Avenir Book"/>
          <w:color w:val="000000" w:themeColor="text1"/>
        </w:rPr>
        <w:t xml:space="preserve"> </w:t>
      </w:r>
      <w:r w:rsidRPr="00134C2B">
        <w:rPr>
          <w:rFonts w:ascii="Avenir Book" w:hAnsi="Avenir Book"/>
          <w:color w:val="000000" w:themeColor="text1"/>
        </w:rPr>
        <w:t>on making the entire model of scholarly publishing sustainable? Does it mean commercially viable</w:t>
      </w:r>
      <w:r>
        <w:rPr>
          <w:rFonts w:ascii="Avenir Book" w:hAnsi="Avenir Book"/>
          <w:color w:val="000000" w:themeColor="text1"/>
        </w:rPr>
        <w:t xml:space="preserve"> or scalable</w:t>
      </w:r>
      <w:r w:rsidRPr="00134C2B">
        <w:rPr>
          <w:rFonts w:ascii="Avenir Book" w:hAnsi="Avenir Book"/>
          <w:color w:val="000000" w:themeColor="text1"/>
        </w:rPr>
        <w:t xml:space="preserve">, making a profit or breaking even? Does it mean sustainability in the short or long-run? And for who exactly? For scholars and their institutions, for governments and tax payers? For stakeholders in the commercial publishing model as it is currently set up? Does it mean self-sustainable or sustainable with a certain amount of funding? Sustainability for journals or for books too, and for </w:t>
      </w:r>
      <w:r w:rsidRPr="00134C2B">
        <w:rPr>
          <w:rFonts w:ascii="Avenir Book" w:hAnsi="Avenir Book"/>
          <w:color w:val="000000" w:themeColor="text1"/>
        </w:rPr>
        <w:lastRenderedPageBreak/>
        <w:t xml:space="preserve">both the sciences and the humanities? Sustainability in the sense of our relationship as publishers and scholars to technology, the environment and the wider ecology of which we are a part? It might be worth keeping these questions in </w:t>
      </w:r>
      <w:r>
        <w:rPr>
          <w:rFonts w:ascii="Avenir Book" w:hAnsi="Avenir Book"/>
          <w:color w:val="000000" w:themeColor="text1"/>
        </w:rPr>
        <w:t>mind when thinking about how</w:t>
      </w:r>
      <w:r w:rsidRPr="00134C2B">
        <w:rPr>
          <w:rFonts w:ascii="Avenir Book" w:hAnsi="Avenir Book"/>
          <w:color w:val="000000" w:themeColor="text1"/>
        </w:rPr>
        <w:t xml:space="preserve"> issue</w:t>
      </w:r>
      <w:r>
        <w:rPr>
          <w:rFonts w:ascii="Avenir Book" w:hAnsi="Avenir Book"/>
          <w:color w:val="000000" w:themeColor="text1"/>
        </w:rPr>
        <w:t>s of sustainability have</w:t>
      </w:r>
      <w:r w:rsidRPr="00134C2B">
        <w:rPr>
          <w:rFonts w:ascii="Avenir Book" w:hAnsi="Avenir Book"/>
          <w:color w:val="000000" w:themeColor="text1"/>
        </w:rPr>
        <w:t xml:space="preserve"> been put forward and framed within discussions on open access. For example, I would argue that the search among publishers, governments and other stakeholders within scholarly communication for the sustainable open access business model, has actually led to a situation where </w:t>
      </w:r>
      <w:r>
        <w:rPr>
          <w:rFonts w:ascii="Avenir Book" w:hAnsi="Avenir Book"/>
          <w:color w:val="000000" w:themeColor="text1"/>
        </w:rPr>
        <w:t>fees or paying for OA article publishing</w:t>
      </w:r>
      <w:r w:rsidRPr="00134C2B">
        <w:rPr>
          <w:rFonts w:ascii="Avenir Book" w:hAnsi="Avenir Book"/>
          <w:color w:val="000000" w:themeColor="text1"/>
        </w:rPr>
        <w:t xml:space="preserve"> </w:t>
      </w:r>
      <w:r>
        <w:rPr>
          <w:rFonts w:ascii="Avenir Book" w:hAnsi="Avenir Book"/>
          <w:color w:val="000000" w:themeColor="text1"/>
        </w:rPr>
        <w:t>is</w:t>
      </w:r>
      <w:r w:rsidRPr="00134C2B">
        <w:rPr>
          <w:rFonts w:ascii="Avenir Book" w:hAnsi="Avenir Book"/>
          <w:color w:val="000000" w:themeColor="text1"/>
        </w:rPr>
        <w:t xml:space="preserve"> </w:t>
      </w:r>
      <w:r>
        <w:rPr>
          <w:rFonts w:ascii="Avenir Book" w:hAnsi="Avenir Book"/>
          <w:color w:val="000000" w:themeColor="text1"/>
        </w:rPr>
        <w:t>becoming</w:t>
      </w:r>
      <w:r w:rsidRPr="00134C2B">
        <w:rPr>
          <w:rFonts w:ascii="Avenir Book" w:hAnsi="Avenir Book"/>
          <w:color w:val="000000" w:themeColor="text1"/>
        </w:rPr>
        <w:t xml:space="preserve"> the norm, and now similarly increasingly both publishers and funders are inclined to use BPCs for books, where a consensus seems to be forming that this is the most sustainable, quickest and least disruptive way to reach universal accessibility for monographs too. Yet many </w:t>
      </w:r>
      <w:proofErr w:type="gramStart"/>
      <w:r w:rsidRPr="00134C2B">
        <w:rPr>
          <w:rFonts w:ascii="Avenir Book" w:hAnsi="Avenir Book"/>
          <w:color w:val="000000" w:themeColor="text1"/>
        </w:rPr>
        <w:t>feel</w:t>
      </w:r>
      <w:proofErr w:type="gramEnd"/>
      <w:r w:rsidRPr="00134C2B">
        <w:rPr>
          <w:rFonts w:ascii="Avenir Book" w:hAnsi="Avenir Book"/>
          <w:color w:val="000000" w:themeColor="text1"/>
        </w:rPr>
        <w:t xml:space="preserve"> that this a form of sustainability that perhaps predominantly serves publishers and maintains the publishing system as it is currently set up. </w:t>
      </w:r>
      <w:r w:rsidRPr="00134C2B">
        <w:rPr>
          <w:rStyle w:val="apple-converted-space"/>
          <w:rFonts w:ascii="Avenir Book" w:hAnsi="Avenir Book"/>
          <w:color w:val="000000" w:themeColor="text1"/>
        </w:rPr>
        <w:t> </w:t>
      </w:r>
      <w:r w:rsidRPr="00134C2B">
        <w:rPr>
          <w:rFonts w:ascii="Avenir Book" w:hAnsi="Avenir Book"/>
          <w:color w:val="000000" w:themeColor="text1"/>
        </w:rPr>
        <w:t>Do we need to take into consideration</w:t>
      </w:r>
      <w:r>
        <w:rPr>
          <w:rFonts w:ascii="Avenir Book" w:hAnsi="Avenir Book"/>
          <w:color w:val="000000" w:themeColor="text1"/>
        </w:rPr>
        <w:t xml:space="preserve"> </w:t>
      </w:r>
      <w:r w:rsidRPr="00134C2B">
        <w:rPr>
          <w:rFonts w:ascii="Avenir Book" w:hAnsi="Avenir Book"/>
          <w:color w:val="000000" w:themeColor="text1"/>
        </w:rPr>
        <w:t xml:space="preserve">that from the point of view of incumbents, what needs sustaining are large margins? What about authors or other players within the system? </w:t>
      </w:r>
      <w:r>
        <w:rPr>
          <w:rFonts w:ascii="Avenir Book" w:hAnsi="Avenir Book"/>
          <w:color w:val="000000" w:themeColor="text1"/>
        </w:rPr>
        <w:t xml:space="preserve">A </w:t>
      </w:r>
      <w:r w:rsidRPr="00134C2B">
        <w:rPr>
          <w:rFonts w:ascii="Avenir Book" w:hAnsi="Avenir Book"/>
          <w:color w:val="000000" w:themeColor="text1"/>
        </w:rPr>
        <w:t xml:space="preserve">reliance on </w:t>
      </w:r>
      <w:r>
        <w:rPr>
          <w:rFonts w:ascii="Avenir Book" w:hAnsi="Avenir Book"/>
          <w:color w:val="000000" w:themeColor="text1"/>
        </w:rPr>
        <w:t xml:space="preserve">publication fees, </w:t>
      </w:r>
      <w:r w:rsidRPr="00134C2B">
        <w:rPr>
          <w:rFonts w:ascii="Avenir Book" w:hAnsi="Avenir Book"/>
          <w:color w:val="000000" w:themeColor="text1"/>
        </w:rPr>
        <w:t xml:space="preserve">risks disenfranchising independent, non-affiliated or so-called para-academics, early career researchers and PhD students and those on </w:t>
      </w:r>
      <w:proofErr w:type="spellStart"/>
      <w:r w:rsidRPr="00134C2B">
        <w:rPr>
          <w:rFonts w:ascii="Avenir Book" w:hAnsi="Avenir Book"/>
          <w:color w:val="000000" w:themeColor="text1"/>
        </w:rPr>
        <w:t>casualised</w:t>
      </w:r>
      <w:proofErr w:type="spellEnd"/>
      <w:r w:rsidRPr="00134C2B">
        <w:rPr>
          <w:rFonts w:ascii="Avenir Book" w:hAnsi="Avenir Book"/>
          <w:color w:val="000000" w:themeColor="text1"/>
        </w:rPr>
        <w:t xml:space="preserve"> contracts, scholars from the global south or in less wealthy institutions, or those who create the kind of research that critiques the institutions of which they are a part, expressing viewpoints that don’t meet with institutional approval. </w:t>
      </w:r>
    </w:p>
    <w:p w14:paraId="4EE12EEA" w14:textId="77777777" w:rsidR="00A02DDD" w:rsidRPr="00134C2B" w:rsidRDefault="00A02DDD" w:rsidP="00A02DDD">
      <w:pPr>
        <w:pStyle w:val="bodytext"/>
        <w:shd w:val="clear" w:color="auto" w:fill="FFFFFF"/>
        <w:spacing w:before="0" w:beforeAutospacing="0" w:after="158" w:afterAutospacing="0" w:line="360" w:lineRule="auto"/>
        <w:jc w:val="both"/>
        <w:rPr>
          <w:rFonts w:ascii="Avenir Book" w:hAnsi="Avenir Book"/>
          <w:color w:val="000000" w:themeColor="text1"/>
        </w:rPr>
      </w:pPr>
      <w:r w:rsidRPr="006B32E2">
        <w:rPr>
          <w:rFonts w:ascii="Avenir Book" w:hAnsi="Avenir Book"/>
          <w:noProof/>
          <w:color w:val="000000" w:themeColor="text1"/>
        </w:rPr>
        <w:drawing>
          <wp:inline distT="0" distB="0" distL="0" distR="0" wp14:anchorId="4E62AC60" wp14:editId="00CF181E">
            <wp:extent cx="2829751" cy="1591734"/>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864694" cy="1611389"/>
                    </a:xfrm>
                    <a:prstGeom prst="rect">
                      <a:avLst/>
                    </a:prstGeom>
                  </pic:spPr>
                </pic:pic>
              </a:graphicData>
            </a:graphic>
          </wp:inline>
        </w:drawing>
      </w:r>
    </w:p>
    <w:p w14:paraId="2FD1B168" w14:textId="77777777" w:rsidR="00A02DDD" w:rsidRDefault="00A02DDD" w:rsidP="00A02DDD">
      <w:pPr>
        <w:pStyle w:val="p1"/>
        <w:spacing w:line="360" w:lineRule="auto"/>
        <w:jc w:val="both"/>
        <w:rPr>
          <w:rFonts w:ascii="Avenir Book" w:hAnsi="Avenir Book"/>
          <w:color w:val="000000" w:themeColor="text1"/>
          <w:sz w:val="24"/>
          <w:szCs w:val="24"/>
        </w:rPr>
      </w:pPr>
      <w:r w:rsidRPr="008A1BB3">
        <w:rPr>
          <w:rFonts w:ascii="Avenir Book" w:hAnsi="Avenir Book"/>
          <w:color w:val="000000" w:themeColor="text1"/>
          <w:sz w:val="24"/>
          <w:szCs w:val="24"/>
        </w:rPr>
        <w:lastRenderedPageBreak/>
        <w:t xml:space="preserve">This is why people such as David </w:t>
      </w:r>
      <w:proofErr w:type="spellStart"/>
      <w:r w:rsidRPr="008A1BB3">
        <w:rPr>
          <w:rFonts w:ascii="Avenir Book" w:hAnsi="Avenir Book"/>
          <w:color w:val="000000" w:themeColor="text1"/>
          <w:sz w:val="24"/>
          <w:szCs w:val="24"/>
        </w:rPr>
        <w:t>Ottina</w:t>
      </w:r>
      <w:proofErr w:type="spellEnd"/>
      <w:r w:rsidRPr="008A1BB3">
        <w:rPr>
          <w:rFonts w:ascii="Avenir Book" w:hAnsi="Avenir Book"/>
          <w:color w:val="000000" w:themeColor="text1"/>
          <w:sz w:val="24"/>
          <w:szCs w:val="24"/>
        </w:rPr>
        <w:t xml:space="preserve"> have argued that “sustainable publishing” invokes the wrong frame for understanding the stakes and dynamics of scholarly communications, which is actually much more of a volatile endeavor than a stable one. </w:t>
      </w:r>
      <w:r w:rsidRPr="008A1BB3">
        <w:rPr>
          <w:rFonts w:ascii="Avenir Book" w:eastAsia="Times New Roman" w:hAnsi="Avenir Book"/>
          <w:color w:val="000000" w:themeColor="text1"/>
          <w:sz w:val="24"/>
          <w:szCs w:val="24"/>
          <w:shd w:val="clear" w:color="auto" w:fill="FFFFFF"/>
        </w:rPr>
        <w:t>Especially with respect to the publishing of monographs in the humanities, one could argue that it has never been sustainable in the sense of self-sustaining, as it has always relied on some form of additional external funding.</w:t>
      </w:r>
      <w:r w:rsidRPr="008A1BB3">
        <w:rPr>
          <w:rFonts w:ascii="Avenir Book" w:hAnsi="Avenir Book"/>
          <w:color w:val="000000" w:themeColor="text1"/>
          <w:sz w:val="24"/>
          <w:szCs w:val="24"/>
        </w:rPr>
        <w:t xml:space="preserve"> So perhaps this frame of sustainability is not that useful within this context. A frame of resilient communications might fit these dynamics better. The Open Access movement has already put forward many independent projects, which, if we take them all together, are developing, what </w:t>
      </w:r>
      <w:proofErr w:type="spellStart"/>
      <w:r w:rsidRPr="008A1BB3">
        <w:rPr>
          <w:rFonts w:ascii="Avenir Book" w:hAnsi="Avenir Book"/>
          <w:color w:val="000000" w:themeColor="text1"/>
          <w:sz w:val="24"/>
          <w:szCs w:val="24"/>
        </w:rPr>
        <w:t>Ottina</w:t>
      </w:r>
      <w:proofErr w:type="spellEnd"/>
      <w:r w:rsidRPr="008A1BB3">
        <w:rPr>
          <w:rFonts w:ascii="Avenir Book" w:hAnsi="Avenir Book"/>
          <w:color w:val="000000" w:themeColor="text1"/>
          <w:sz w:val="24"/>
          <w:szCs w:val="24"/>
        </w:rPr>
        <w:t xml:space="preserve"> calls a robust and resilient system of scholarly communications. It is exactly the diversity of these initiatives, and, being small and relatively flexible endeavors that are not risk adverse, which enables their capacity for change and experimentation. For </w:t>
      </w:r>
      <w:proofErr w:type="spellStart"/>
      <w:r w:rsidRPr="008A1BB3">
        <w:rPr>
          <w:rFonts w:ascii="Avenir Book" w:hAnsi="Avenir Book"/>
          <w:color w:val="000000" w:themeColor="text1"/>
          <w:sz w:val="24"/>
          <w:szCs w:val="24"/>
        </w:rPr>
        <w:t>Ottina</w:t>
      </w:r>
      <w:proofErr w:type="spellEnd"/>
      <w:r w:rsidRPr="008A1BB3">
        <w:rPr>
          <w:rFonts w:ascii="Avenir Book" w:hAnsi="Avenir Book"/>
          <w:color w:val="000000" w:themeColor="text1"/>
          <w:sz w:val="24"/>
          <w:szCs w:val="24"/>
        </w:rPr>
        <w:t>, instead of focusing on economic sustainability, we should instead focus on a discussion of what kind of scholarly communications system we want and how we can make it resilient in the face of technological, institutional and funding volatility.</w:t>
      </w:r>
      <w:r w:rsidRPr="008A1BB3">
        <w:rPr>
          <w:rStyle w:val="apple-converted-space"/>
          <w:rFonts w:ascii="Avenir Book" w:hAnsi="Avenir Book"/>
          <w:color w:val="000000" w:themeColor="text1"/>
          <w:sz w:val="24"/>
          <w:szCs w:val="24"/>
        </w:rPr>
        <w:t xml:space="preserve"> </w:t>
      </w:r>
      <w:proofErr w:type="spellStart"/>
      <w:r w:rsidRPr="008A1BB3">
        <w:rPr>
          <w:rFonts w:ascii="Avenir Book" w:hAnsi="Avenir Book"/>
          <w:color w:val="000000" w:themeColor="text1"/>
          <w:sz w:val="24"/>
          <w:szCs w:val="24"/>
        </w:rPr>
        <w:t>Ottina</w:t>
      </w:r>
      <w:proofErr w:type="spellEnd"/>
      <w:r w:rsidRPr="008A1BB3">
        <w:rPr>
          <w:rFonts w:ascii="Avenir Book" w:hAnsi="Avenir Book"/>
          <w:color w:val="000000" w:themeColor="text1"/>
          <w:sz w:val="24"/>
          <w:szCs w:val="24"/>
        </w:rPr>
        <w:t xml:space="preserve"> provides the example of Open Humanities Press as an example of </w:t>
      </w:r>
      <w:proofErr w:type="gramStart"/>
      <w:r w:rsidRPr="008A1BB3">
        <w:rPr>
          <w:rFonts w:ascii="Avenir Book" w:hAnsi="Avenir Book"/>
          <w:color w:val="000000" w:themeColor="text1"/>
          <w:sz w:val="24"/>
          <w:szCs w:val="24"/>
        </w:rPr>
        <w:t>small scale</w:t>
      </w:r>
      <w:proofErr w:type="gramEnd"/>
      <w:r w:rsidRPr="008A1BB3">
        <w:rPr>
          <w:rFonts w:ascii="Avenir Book" w:hAnsi="Avenir Book"/>
          <w:color w:val="000000" w:themeColor="text1"/>
          <w:sz w:val="24"/>
          <w:szCs w:val="24"/>
        </w:rPr>
        <w:t xml:space="preserve"> resilience, but I think that on a larger scale, taken together, the moves towards creating loose alliances, collectives and co-operatives between academic-led and not for profit publishing entities similar stimulates the creation of these more resilient structures. </w:t>
      </w:r>
      <w:r>
        <w:rPr>
          <w:rFonts w:ascii="Avenir Book" w:hAnsi="Avenir Book"/>
          <w:color w:val="000000" w:themeColor="text1"/>
          <w:sz w:val="24"/>
          <w:szCs w:val="24"/>
        </w:rPr>
        <w:t>Which is what I will discuss in the 3</w:t>
      </w:r>
      <w:r w:rsidRPr="00662607">
        <w:rPr>
          <w:rFonts w:ascii="Avenir Book" w:hAnsi="Avenir Book"/>
          <w:color w:val="000000" w:themeColor="text1"/>
          <w:sz w:val="24"/>
          <w:szCs w:val="24"/>
          <w:vertAlign w:val="superscript"/>
        </w:rPr>
        <w:t>rd</w:t>
      </w:r>
      <w:r>
        <w:rPr>
          <w:rFonts w:ascii="Avenir Book" w:hAnsi="Avenir Book"/>
          <w:color w:val="000000" w:themeColor="text1"/>
          <w:sz w:val="24"/>
          <w:szCs w:val="24"/>
        </w:rPr>
        <w:t xml:space="preserve"> part of this talk.</w:t>
      </w:r>
    </w:p>
    <w:p w14:paraId="1A8FB9ED" w14:textId="77777777" w:rsidR="00A02DDD" w:rsidRDefault="00A02DDD" w:rsidP="00A02DDD">
      <w:pPr>
        <w:pStyle w:val="p1"/>
        <w:spacing w:line="360" w:lineRule="auto"/>
        <w:jc w:val="both"/>
        <w:rPr>
          <w:rFonts w:ascii="Avenir Book" w:hAnsi="Avenir Book"/>
          <w:color w:val="000000" w:themeColor="text1"/>
          <w:sz w:val="24"/>
          <w:szCs w:val="24"/>
        </w:rPr>
      </w:pPr>
      <w:r w:rsidRPr="006B32E2">
        <w:rPr>
          <w:rFonts w:ascii="Avenir Book" w:hAnsi="Avenir Book"/>
          <w:noProof/>
          <w:color w:val="000000" w:themeColor="text1"/>
          <w:sz w:val="24"/>
          <w:szCs w:val="24"/>
        </w:rPr>
        <w:drawing>
          <wp:inline distT="0" distB="0" distL="0" distR="0" wp14:anchorId="38A08830" wp14:editId="7AB2AA7E">
            <wp:extent cx="2784590" cy="156633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800372" cy="1575210"/>
                    </a:xfrm>
                    <a:prstGeom prst="rect">
                      <a:avLst/>
                    </a:prstGeom>
                  </pic:spPr>
                </pic:pic>
              </a:graphicData>
            </a:graphic>
          </wp:inline>
        </w:drawing>
      </w:r>
    </w:p>
    <w:p w14:paraId="16DC7618" w14:textId="77777777" w:rsidR="00A02DDD" w:rsidRPr="008A1BB3" w:rsidRDefault="00A02DDD" w:rsidP="00A02DDD">
      <w:pPr>
        <w:pStyle w:val="p1"/>
        <w:spacing w:line="360" w:lineRule="auto"/>
        <w:jc w:val="both"/>
        <w:rPr>
          <w:rFonts w:ascii="Avenir Book" w:hAnsi="Avenir Book"/>
          <w:color w:val="000000" w:themeColor="text1"/>
          <w:sz w:val="24"/>
          <w:szCs w:val="24"/>
        </w:rPr>
      </w:pPr>
      <w:r>
        <w:rPr>
          <w:rFonts w:ascii="Avenir Book" w:hAnsi="Avenir Book"/>
          <w:color w:val="000000" w:themeColor="text1"/>
          <w:sz w:val="24"/>
          <w:szCs w:val="24"/>
        </w:rPr>
        <w:lastRenderedPageBreak/>
        <w:t>We might also need to create models that focus on the associations between the scalable and the non-scalable, which is where the anthropologist Anna Tsing focuses on</w:t>
      </w:r>
    </w:p>
    <w:p w14:paraId="22AB24A7" w14:textId="77777777" w:rsidR="00A02DDD" w:rsidRDefault="00A02DDD" w:rsidP="00A02DDD">
      <w:pPr>
        <w:spacing w:line="360" w:lineRule="auto"/>
        <w:jc w:val="both"/>
        <w:rPr>
          <w:rFonts w:ascii="Avenir Book" w:eastAsia="Times New Roman" w:hAnsi="Avenir Book" w:cs="Times New Roman"/>
        </w:rPr>
      </w:pPr>
      <w:r>
        <w:rPr>
          <w:rFonts w:ascii="Avenir Book" w:eastAsia="Times New Roman" w:hAnsi="Avenir Book" w:cs="Times New Roman"/>
        </w:rPr>
        <w:t>i</w:t>
      </w:r>
      <w:r w:rsidRPr="008A1BB3">
        <w:rPr>
          <w:rFonts w:ascii="Avenir Book" w:eastAsia="Times New Roman" w:hAnsi="Avenir Book" w:cs="Times New Roman"/>
        </w:rPr>
        <w:t xml:space="preserve">n this wonderful book </w:t>
      </w:r>
      <w:r>
        <w:rPr>
          <w:rFonts w:ascii="Avenir Book" w:eastAsia="Times New Roman" w:hAnsi="Avenir Book" w:cs="Times New Roman"/>
        </w:rPr>
        <w:t xml:space="preserve">in which she </w:t>
      </w:r>
      <w:r w:rsidRPr="008A1BB3">
        <w:rPr>
          <w:rFonts w:ascii="Avenir Book" w:eastAsia="Times New Roman" w:hAnsi="Avenir Book" w:cs="Times New Roman"/>
        </w:rPr>
        <w:t>explores the</w:t>
      </w:r>
      <w:r w:rsidRPr="00776F16">
        <w:rPr>
          <w:rFonts w:ascii="Avenir Book" w:eastAsia="Times New Roman" w:hAnsi="Avenir Book" w:cs="Times New Roman"/>
        </w:rPr>
        <w:t xml:space="preserve"> </w:t>
      </w:r>
      <w:r w:rsidRPr="008A1BB3">
        <w:rPr>
          <w:rFonts w:ascii="Avenir Book" w:eastAsia="Times New Roman" w:hAnsi="Avenir Book" w:cs="Times New Roman"/>
        </w:rPr>
        <w:t xml:space="preserve">global supply chains of the </w:t>
      </w:r>
      <w:proofErr w:type="spellStart"/>
      <w:r w:rsidRPr="008A1BB3">
        <w:rPr>
          <w:rFonts w:ascii="Avenir Book" w:eastAsia="Times New Roman" w:hAnsi="Avenir Book" w:cs="Times New Roman"/>
        </w:rPr>
        <w:t>matsutake</w:t>
      </w:r>
      <w:proofErr w:type="spellEnd"/>
      <w:r w:rsidRPr="008A1BB3">
        <w:rPr>
          <w:rFonts w:ascii="Avenir Book" w:eastAsia="Times New Roman" w:hAnsi="Avenir Book" w:cs="Times New Roman"/>
        </w:rPr>
        <w:t xml:space="preserve"> mushroom which lives in transformative mutualist relationship with trees</w:t>
      </w:r>
      <w:r w:rsidRPr="00776F16">
        <w:rPr>
          <w:rFonts w:ascii="Avenir Book" w:eastAsia="Times New Roman" w:hAnsi="Avenir Book" w:cs="Times New Roman"/>
        </w:rPr>
        <w:t xml:space="preserve">, from gift to commodity and back. </w:t>
      </w:r>
      <w:r>
        <w:rPr>
          <w:rFonts w:ascii="Avenir Book" w:eastAsia="Times New Roman" w:hAnsi="Avenir Book" w:cs="Times New Roman"/>
        </w:rPr>
        <w:t>Here s</w:t>
      </w:r>
      <w:r w:rsidRPr="008A1BB3">
        <w:rPr>
          <w:rFonts w:ascii="Avenir Book" w:eastAsia="Times New Roman" w:hAnsi="Avenir Book" w:cs="Times New Roman"/>
        </w:rPr>
        <w:t xml:space="preserve">he narrates overlapping stories of capitalism and ecology and the </w:t>
      </w:r>
      <w:r w:rsidRPr="00776F16">
        <w:rPr>
          <w:rFonts w:ascii="Avenir Book" w:eastAsia="Times New Roman" w:hAnsi="Avenir Book" w:cs="Times New Roman"/>
        </w:rPr>
        <w:t xml:space="preserve">frictions in the encounters of value regimes </w:t>
      </w:r>
      <w:r w:rsidRPr="008A1BB3">
        <w:rPr>
          <w:rFonts w:ascii="Avenir Book" w:eastAsia="Times New Roman" w:hAnsi="Avenir Book" w:cs="Times New Roman"/>
        </w:rPr>
        <w:t xml:space="preserve">that occur. As part of these stories she develops what I feel is a very valuable theorization around scalability and </w:t>
      </w:r>
      <w:proofErr w:type="spellStart"/>
      <w:r w:rsidRPr="008A1BB3">
        <w:rPr>
          <w:rFonts w:ascii="Avenir Book" w:eastAsia="Times New Roman" w:hAnsi="Avenir Book" w:cs="Times New Roman"/>
        </w:rPr>
        <w:t>nonscalability</w:t>
      </w:r>
      <w:proofErr w:type="spellEnd"/>
      <w:r w:rsidRPr="008A1BB3">
        <w:rPr>
          <w:rFonts w:ascii="Avenir Book" w:eastAsia="Times New Roman" w:hAnsi="Avenir Book" w:cs="Times New Roman"/>
        </w:rPr>
        <w:t xml:space="preserve">. </w:t>
      </w:r>
    </w:p>
    <w:p w14:paraId="1AA9DB69" w14:textId="77777777" w:rsidR="00A02DDD" w:rsidRDefault="00A02DDD" w:rsidP="00A02DDD">
      <w:pPr>
        <w:spacing w:line="360" w:lineRule="auto"/>
        <w:jc w:val="both"/>
        <w:rPr>
          <w:rFonts w:ascii="Avenir Book" w:eastAsia="Times New Roman" w:hAnsi="Avenir Book" w:cs="Times New Roman"/>
        </w:rPr>
      </w:pPr>
      <w:r w:rsidRPr="006B32E2">
        <w:rPr>
          <w:rFonts w:ascii="Avenir Book" w:eastAsia="Times New Roman" w:hAnsi="Avenir Book" w:cs="Times New Roman"/>
          <w:noProof/>
        </w:rPr>
        <w:drawing>
          <wp:inline distT="0" distB="0" distL="0" distR="0" wp14:anchorId="59EDA512" wp14:editId="0EE376AD">
            <wp:extent cx="3160890" cy="1778000"/>
            <wp:effectExtent l="0" t="0" r="190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191258" cy="1795082"/>
                    </a:xfrm>
                    <a:prstGeom prst="rect">
                      <a:avLst/>
                    </a:prstGeom>
                  </pic:spPr>
                </pic:pic>
              </a:graphicData>
            </a:graphic>
          </wp:inline>
        </w:drawing>
      </w:r>
    </w:p>
    <w:p w14:paraId="0152FC3A" w14:textId="77777777" w:rsidR="00A02DDD" w:rsidRDefault="00A02DDD" w:rsidP="00A02DDD">
      <w:pPr>
        <w:spacing w:line="360" w:lineRule="auto"/>
        <w:jc w:val="both"/>
        <w:rPr>
          <w:rFonts w:ascii="Avenir Book" w:hAnsi="Avenir Book" w:cs="Times"/>
          <w:color w:val="141413"/>
        </w:rPr>
      </w:pPr>
      <w:r w:rsidRPr="008A1BB3">
        <w:rPr>
          <w:rFonts w:ascii="Avenir Book" w:eastAsia="Times New Roman" w:hAnsi="Avenir Book" w:cs="Times New Roman"/>
        </w:rPr>
        <w:t xml:space="preserve">One of the main focus points of Tsing’s argument is that scaling or scalability assumes that projects expand without changing their framing assumptions. </w:t>
      </w:r>
      <w:r w:rsidRPr="008A1BB3">
        <w:rPr>
          <w:rFonts w:ascii="Avenir Book" w:hAnsi="Avenir Book" w:cs="Times"/>
          <w:color w:val="141413"/>
        </w:rPr>
        <w:t xml:space="preserve">Scalability </w:t>
      </w:r>
      <w:r>
        <w:rPr>
          <w:rFonts w:ascii="Avenir Book" w:hAnsi="Avenir Book" w:cs="Times"/>
          <w:color w:val="141413"/>
        </w:rPr>
        <w:t xml:space="preserve">then, </w:t>
      </w:r>
      <w:r w:rsidRPr="008A1BB3">
        <w:rPr>
          <w:rFonts w:ascii="Avenir Book" w:hAnsi="Avenir Book" w:cs="Times"/>
          <w:color w:val="141413"/>
        </w:rPr>
        <w:t>is the ability of a project to change scales smoothly without any change in project frames. Tsing evokes how the discourse of scaling up has been strongly connected to the advancement of humanity, to our ideas of progress, where the success of expansion through scalability shaped both modernity and capitalism</w:t>
      </w:r>
      <w:r>
        <w:rPr>
          <w:rFonts w:ascii="Avenir Book" w:hAnsi="Avenir Book" w:cs="Times"/>
          <w:color w:val="141413"/>
        </w:rPr>
        <w:t>, and with that in this context, knowledge production</w:t>
      </w:r>
      <w:r w:rsidRPr="008A1BB3">
        <w:rPr>
          <w:rFonts w:ascii="Avenir Book" w:hAnsi="Avenir Book" w:cs="Times"/>
          <w:color w:val="141413"/>
        </w:rPr>
        <w:t xml:space="preserve">. From this perspective the </w:t>
      </w:r>
      <w:proofErr w:type="spellStart"/>
      <w:r w:rsidRPr="008A1BB3">
        <w:rPr>
          <w:rFonts w:ascii="Avenir Book" w:hAnsi="Avenir Book" w:cs="Times"/>
          <w:color w:val="141413"/>
        </w:rPr>
        <w:t>nonscalable</w:t>
      </w:r>
      <w:proofErr w:type="spellEnd"/>
      <w:r w:rsidRPr="008A1BB3">
        <w:rPr>
          <w:rFonts w:ascii="Avenir Book" w:hAnsi="Avenir Book" w:cs="Times"/>
          <w:color w:val="141413"/>
        </w:rPr>
        <w:t xml:space="preserve"> becomes an impediment. </w:t>
      </w:r>
    </w:p>
    <w:p w14:paraId="67A2EF92" w14:textId="77777777" w:rsidR="00A02DDD" w:rsidRDefault="00A02DDD" w:rsidP="00A02DDD">
      <w:pPr>
        <w:spacing w:line="360" w:lineRule="auto"/>
        <w:jc w:val="both"/>
        <w:rPr>
          <w:rFonts w:ascii="Avenir Book" w:hAnsi="Avenir Book" w:cs="Times"/>
          <w:color w:val="141413"/>
        </w:rPr>
      </w:pPr>
      <w:r w:rsidRPr="00662267">
        <w:rPr>
          <w:rFonts w:ascii="Avenir Book" w:hAnsi="Avenir Book" w:cs="Times"/>
          <w:noProof/>
          <w:color w:val="141413"/>
        </w:rPr>
        <w:drawing>
          <wp:inline distT="0" distB="0" distL="0" distR="0" wp14:anchorId="6C129FC8" wp14:editId="3BEBE423">
            <wp:extent cx="2633133" cy="1481137"/>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684604" cy="1510089"/>
                    </a:xfrm>
                    <a:prstGeom prst="rect">
                      <a:avLst/>
                    </a:prstGeom>
                  </pic:spPr>
                </pic:pic>
              </a:graphicData>
            </a:graphic>
          </wp:inline>
        </w:drawing>
      </w:r>
    </w:p>
    <w:p w14:paraId="70CD9E36" w14:textId="77777777" w:rsidR="00A02DDD" w:rsidRDefault="00A02DDD" w:rsidP="00A02DDD">
      <w:pPr>
        <w:spacing w:line="360" w:lineRule="auto"/>
        <w:jc w:val="both"/>
        <w:rPr>
          <w:rFonts w:ascii="Avenir Book" w:hAnsi="Avenir Book" w:cs="Times"/>
          <w:color w:val="141413"/>
        </w:rPr>
      </w:pPr>
      <w:r w:rsidRPr="00776F16">
        <w:rPr>
          <w:rFonts w:ascii="Avenir Book" w:eastAsia="Times New Roman" w:hAnsi="Avenir Book" w:cs="Times New Roman"/>
        </w:rPr>
        <w:lastRenderedPageBreak/>
        <w:t xml:space="preserve">Scalable projects </w:t>
      </w:r>
      <w:r w:rsidRPr="008A1BB3">
        <w:rPr>
          <w:rFonts w:ascii="Avenir Book" w:eastAsia="Times New Roman" w:hAnsi="Avenir Book" w:cs="Times New Roman"/>
        </w:rPr>
        <w:t>however</w:t>
      </w:r>
      <w:r w:rsidRPr="00776F16">
        <w:rPr>
          <w:rFonts w:ascii="Avenir Book" w:eastAsia="Times New Roman" w:hAnsi="Avenir Book" w:cs="Times New Roman"/>
        </w:rPr>
        <w:t xml:space="preserve"> are oblivious to the diversity of contexts and the indeterminacies that originate from the encounter with this diversity</w:t>
      </w:r>
      <w:r>
        <w:rPr>
          <w:rFonts w:ascii="Avenir Book" w:eastAsia="Times New Roman" w:hAnsi="Avenir Book" w:cs="Times New Roman"/>
        </w:rPr>
        <w:t>. As Tsing</w:t>
      </w:r>
      <w:r w:rsidRPr="008A1BB3">
        <w:rPr>
          <w:rFonts w:ascii="Avenir Book" w:eastAsia="Times New Roman" w:hAnsi="Avenir Book" w:cs="Times New Roman"/>
        </w:rPr>
        <w:t xml:space="preserve"> states, </w:t>
      </w:r>
      <w:r w:rsidRPr="008A1BB3">
        <w:rPr>
          <w:rFonts w:ascii="Avenir Book" w:hAnsi="Avenir Book" w:cs="Times"/>
          <w:color w:val="141413"/>
        </w:rPr>
        <w:t xml:space="preserve">they block our ability to notice the heterogeneity of the world, </w:t>
      </w:r>
      <w:r>
        <w:rPr>
          <w:rFonts w:ascii="Avenir Book" w:hAnsi="Avenir Book" w:cs="Times"/>
          <w:color w:val="141413"/>
        </w:rPr>
        <w:t xml:space="preserve">in other words </w:t>
      </w:r>
      <w:r w:rsidRPr="008A1BB3">
        <w:rPr>
          <w:rFonts w:ascii="Avenir Book" w:hAnsi="Avenir Book" w:cs="Times"/>
          <w:color w:val="141413"/>
        </w:rPr>
        <w:t>scalability allows us to see only uniform blocks, ready for further expansion.</w:t>
      </w:r>
      <w:r w:rsidRPr="008A1BB3">
        <w:rPr>
          <w:rFonts w:ascii="Avenir Book" w:eastAsia="Times New Roman" w:hAnsi="Avenir Book" w:cs="Times New Roman"/>
        </w:rPr>
        <w:t xml:space="preserve"> This urge for scalability has transformed both our societies and landscapes</w:t>
      </w:r>
      <w:r>
        <w:rPr>
          <w:rFonts w:ascii="Avenir Book" w:eastAsia="Times New Roman" w:hAnsi="Avenir Book" w:cs="Times New Roman"/>
        </w:rPr>
        <w:t>, and again our knowledge systems and infrastructures</w:t>
      </w:r>
      <w:r w:rsidRPr="008A1BB3">
        <w:rPr>
          <w:rFonts w:ascii="Avenir Book" w:eastAsia="Times New Roman" w:hAnsi="Avenir Book" w:cs="Times New Roman"/>
        </w:rPr>
        <w:t xml:space="preserve">, but it hasn’t been able to suppress the </w:t>
      </w:r>
      <w:proofErr w:type="spellStart"/>
      <w:r w:rsidRPr="008A1BB3">
        <w:rPr>
          <w:rFonts w:ascii="Avenir Book" w:eastAsia="Times New Roman" w:hAnsi="Avenir Book" w:cs="Times New Roman"/>
        </w:rPr>
        <w:t>nonscalable</w:t>
      </w:r>
      <w:proofErr w:type="spellEnd"/>
      <w:r w:rsidRPr="008A1BB3">
        <w:rPr>
          <w:rFonts w:ascii="Avenir Book" w:eastAsia="Times New Roman" w:hAnsi="Avenir Book" w:cs="Times New Roman"/>
        </w:rPr>
        <w:t xml:space="preserve"> ecological and economical relationships, these continue to erupt in unexpected places. Yet Tsing doesn’t see these as existing in a binary relationship to scalability or as the one being good and the other being bad. </w:t>
      </w:r>
      <w:r>
        <w:rPr>
          <w:rFonts w:ascii="Avenir Book" w:hAnsi="Avenir Book" w:cs="Times"/>
          <w:color w:val="141413"/>
        </w:rPr>
        <w:t>As she states c</w:t>
      </w:r>
      <w:r w:rsidRPr="008A1BB3">
        <w:rPr>
          <w:rFonts w:ascii="Avenir Book" w:hAnsi="Avenir Book" w:cs="Times"/>
          <w:color w:val="141413"/>
        </w:rPr>
        <w:t xml:space="preserve">apitalist accumulation also increasingly incorporates </w:t>
      </w:r>
      <w:proofErr w:type="spellStart"/>
      <w:r w:rsidRPr="008A1BB3">
        <w:rPr>
          <w:rFonts w:ascii="Avenir Book" w:hAnsi="Avenir Book" w:cs="Times"/>
          <w:color w:val="141413"/>
        </w:rPr>
        <w:t>nonscalable</w:t>
      </w:r>
      <w:proofErr w:type="spellEnd"/>
      <w:r w:rsidRPr="008A1BB3">
        <w:rPr>
          <w:rFonts w:ascii="Avenir Book" w:hAnsi="Avenir Book" w:cs="Times"/>
          <w:color w:val="141413"/>
        </w:rPr>
        <w:t xml:space="preserve"> relations into the global supply chain through scalable accounting</w:t>
      </w:r>
      <w:r>
        <w:rPr>
          <w:rFonts w:ascii="Avenir Book" w:hAnsi="Avenir Book" w:cs="Times"/>
          <w:color w:val="141413"/>
        </w:rPr>
        <w:t xml:space="preserve"> for example, and we can see something similar in how academic publishing has been able to incorporate incredible amounts of volunteer work and underlying non-calculatable relations of care into its models, so much so that these now sustain them</w:t>
      </w:r>
      <w:r w:rsidRPr="008A1BB3">
        <w:rPr>
          <w:rFonts w:ascii="Avenir Book" w:hAnsi="Avenir Book" w:cs="Times"/>
          <w:color w:val="141413"/>
        </w:rPr>
        <w:t>.</w:t>
      </w:r>
      <w:r>
        <w:rPr>
          <w:rFonts w:ascii="Avenir Book" w:hAnsi="Avenir Book" w:cs="Times"/>
          <w:color w:val="141413"/>
        </w:rPr>
        <w:t xml:space="preserve"> </w:t>
      </w:r>
      <w:r>
        <w:rPr>
          <w:rFonts w:ascii="Avenir Book" w:eastAsia="Times New Roman" w:hAnsi="Avenir Book" w:cs="Times New Roman"/>
        </w:rPr>
        <w:t>As Tsing</w:t>
      </w:r>
      <w:r w:rsidRPr="008A1BB3">
        <w:rPr>
          <w:rFonts w:ascii="Avenir Book" w:eastAsia="Times New Roman" w:hAnsi="Avenir Book" w:cs="Times New Roman"/>
        </w:rPr>
        <w:t xml:space="preserve"> states, </w:t>
      </w:r>
      <w:r w:rsidRPr="008A1BB3">
        <w:rPr>
          <w:rFonts w:ascii="Avenir Book" w:hAnsi="Avenir Book" w:cs="Times"/>
          <w:color w:val="141413"/>
        </w:rPr>
        <w:t xml:space="preserve">the main distinguishing feature between scalable and </w:t>
      </w:r>
      <w:proofErr w:type="spellStart"/>
      <w:r w:rsidRPr="008A1BB3">
        <w:rPr>
          <w:rFonts w:ascii="Avenir Book" w:hAnsi="Avenir Book" w:cs="Times"/>
          <w:color w:val="141413"/>
        </w:rPr>
        <w:t>nonscalable</w:t>
      </w:r>
      <w:proofErr w:type="spellEnd"/>
      <w:r w:rsidRPr="008A1BB3">
        <w:rPr>
          <w:rFonts w:ascii="Avenir Book" w:hAnsi="Avenir Book" w:cs="Times"/>
          <w:color w:val="141413"/>
        </w:rPr>
        <w:t xml:space="preserve"> projects is not ethical conduct but rather that the latter are more diverse because they are not geared up for expansion. </w:t>
      </w:r>
    </w:p>
    <w:p w14:paraId="1B3B71AF" w14:textId="77777777" w:rsidR="00A02DDD" w:rsidRPr="008A1BB3" w:rsidRDefault="00A02DDD" w:rsidP="00A02DDD">
      <w:pPr>
        <w:spacing w:line="360" w:lineRule="auto"/>
        <w:jc w:val="both"/>
        <w:rPr>
          <w:rFonts w:ascii="Avenir Book" w:hAnsi="Avenir Book" w:cs="Times"/>
          <w:color w:val="141413"/>
        </w:rPr>
      </w:pPr>
      <w:r w:rsidRPr="00662267">
        <w:rPr>
          <w:rFonts w:ascii="Avenir Book" w:hAnsi="Avenir Book" w:cs="Times"/>
          <w:noProof/>
          <w:color w:val="141413"/>
        </w:rPr>
        <w:drawing>
          <wp:inline distT="0" distB="0" distL="0" distR="0" wp14:anchorId="11490A8A" wp14:editId="3606F465">
            <wp:extent cx="2468505" cy="138853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490076" cy="1400668"/>
                    </a:xfrm>
                    <a:prstGeom prst="rect">
                      <a:avLst/>
                    </a:prstGeom>
                  </pic:spPr>
                </pic:pic>
              </a:graphicData>
            </a:graphic>
          </wp:inline>
        </w:drawing>
      </w:r>
    </w:p>
    <w:p w14:paraId="528507FC" w14:textId="77777777" w:rsidR="00A02DDD" w:rsidRDefault="00A02DDD" w:rsidP="00A02DDD">
      <w:pPr>
        <w:spacing w:line="360" w:lineRule="auto"/>
        <w:jc w:val="both"/>
        <w:rPr>
          <w:rFonts w:ascii="Times New Roman" w:eastAsia="Times New Roman" w:hAnsi="Times New Roman" w:cs="Times New Roman"/>
        </w:rPr>
      </w:pPr>
      <w:r w:rsidRPr="008A1BB3">
        <w:rPr>
          <w:rFonts w:ascii="Avenir Book" w:hAnsi="Avenir Book" w:cs="Times"/>
          <w:color w:val="141413"/>
        </w:rPr>
        <w:t xml:space="preserve">Yet Tsing nonetheless stresses that we need to pay more attention to </w:t>
      </w:r>
      <w:r w:rsidRPr="00AD14AE">
        <w:rPr>
          <w:rFonts w:ascii="Avenir Book" w:eastAsia="Times New Roman" w:hAnsi="Avenir Book" w:cs="Times New Roman"/>
        </w:rPr>
        <w:t xml:space="preserve">the </w:t>
      </w:r>
      <w:proofErr w:type="spellStart"/>
      <w:r w:rsidRPr="00AD14AE">
        <w:rPr>
          <w:rFonts w:ascii="Avenir Book" w:eastAsia="Times New Roman" w:hAnsi="Avenir Book" w:cs="Times New Roman"/>
        </w:rPr>
        <w:t>nonscalable</w:t>
      </w:r>
      <w:proofErr w:type="spellEnd"/>
      <w:r w:rsidRPr="00AD14AE">
        <w:rPr>
          <w:rFonts w:ascii="Avenir Book" w:eastAsia="Times New Roman" w:hAnsi="Avenir Book" w:cs="Times New Roman"/>
        </w:rPr>
        <w:t xml:space="preserve"> modes of valuation</w:t>
      </w:r>
      <w:r w:rsidRPr="008A1BB3">
        <w:rPr>
          <w:rFonts w:ascii="Avenir Book" w:eastAsia="Times New Roman" w:hAnsi="Avenir Book" w:cs="Times New Roman"/>
        </w:rPr>
        <w:t xml:space="preserve"> that merge in livelihood processes through </w:t>
      </w:r>
      <w:r>
        <w:rPr>
          <w:rFonts w:ascii="Avenir Book" w:eastAsia="Times New Roman" w:hAnsi="Avenir Book" w:cs="Times New Roman"/>
        </w:rPr>
        <w:t xml:space="preserve">what she calls </w:t>
      </w:r>
      <w:r w:rsidRPr="008A1BB3">
        <w:rPr>
          <w:rFonts w:ascii="Avenir Book" w:eastAsia="Times New Roman" w:hAnsi="Avenir Book" w:cs="Times New Roman"/>
        </w:rPr>
        <w:t>the contingencies of encounter</w:t>
      </w:r>
      <w:r>
        <w:rPr>
          <w:rFonts w:ascii="Avenir Book" w:eastAsia="Times New Roman" w:hAnsi="Avenir Book" w:cs="Times New Roman"/>
        </w:rPr>
        <w:t xml:space="preserve">, or what in other contexts is </w:t>
      </w:r>
      <w:proofErr w:type="spellStart"/>
      <w:r>
        <w:rPr>
          <w:rFonts w:ascii="Avenir Book" w:eastAsia="Times New Roman" w:hAnsi="Avenir Book" w:cs="Times New Roman"/>
        </w:rPr>
        <w:t>theorised</w:t>
      </w:r>
      <w:proofErr w:type="spellEnd"/>
      <w:r>
        <w:rPr>
          <w:rFonts w:ascii="Avenir Book" w:eastAsia="Times New Roman" w:hAnsi="Avenir Book" w:cs="Times New Roman"/>
        </w:rPr>
        <w:t xml:space="preserve"> as </w:t>
      </w:r>
      <w:proofErr w:type="spellStart"/>
      <w:r>
        <w:rPr>
          <w:rFonts w:ascii="Avenir Book" w:eastAsia="Times New Roman" w:hAnsi="Avenir Book" w:cs="Times New Roman"/>
        </w:rPr>
        <w:t>enounters</w:t>
      </w:r>
      <w:proofErr w:type="spellEnd"/>
      <w:r>
        <w:rPr>
          <w:rFonts w:ascii="Avenir Book" w:eastAsia="Times New Roman" w:hAnsi="Avenir Book" w:cs="Times New Roman"/>
        </w:rPr>
        <w:t xml:space="preserve"> with the ‘other’</w:t>
      </w:r>
      <w:r w:rsidRPr="008A1BB3">
        <w:rPr>
          <w:rFonts w:ascii="Avenir Book" w:eastAsia="Times New Roman" w:hAnsi="Avenir Book" w:cs="Times New Roman"/>
        </w:rPr>
        <w:t>. What is needed here is paying attention to the histories of these encounter</w:t>
      </w:r>
      <w:r>
        <w:rPr>
          <w:rFonts w:ascii="Avenir Book" w:eastAsia="Times New Roman" w:hAnsi="Avenir Book" w:cs="Times New Roman"/>
        </w:rPr>
        <w:t>s</w:t>
      </w:r>
      <w:r w:rsidRPr="008A1BB3">
        <w:rPr>
          <w:rFonts w:ascii="Avenir Book" w:eastAsia="Times New Roman" w:hAnsi="Avenir Book" w:cs="Times New Roman"/>
        </w:rPr>
        <w:t xml:space="preserve">, to </w:t>
      </w:r>
      <w:r w:rsidRPr="008A1BB3">
        <w:rPr>
          <w:rFonts w:ascii="Avenir Book" w:eastAsia="Times New Roman" w:hAnsi="Avenir Book" w:cs="Times New Roman"/>
        </w:rPr>
        <w:lastRenderedPageBreak/>
        <w:t>descriptions of them</w:t>
      </w:r>
      <w:r>
        <w:rPr>
          <w:rFonts w:ascii="Avenir Book" w:eastAsia="Times New Roman" w:hAnsi="Avenir Book" w:cs="Times New Roman"/>
        </w:rPr>
        <w:t>, to how</w:t>
      </w:r>
      <w:r w:rsidRPr="008A1BB3">
        <w:rPr>
          <w:rFonts w:ascii="Avenir Book" w:hAnsi="Avenir Book" w:cs="Times"/>
          <w:color w:val="141413"/>
        </w:rPr>
        <w:t xml:space="preserve"> scalable designs have excluded biological and cultural diversity</w:t>
      </w:r>
      <w:r>
        <w:rPr>
          <w:rFonts w:ascii="Avenir Book" w:hAnsi="Avenir Book" w:cs="Times"/>
          <w:color w:val="141413"/>
        </w:rPr>
        <w:t xml:space="preserve">, </w:t>
      </w:r>
      <w:r w:rsidRPr="00B821B7">
        <w:rPr>
          <w:rFonts w:ascii="Avenir Book" w:hAnsi="Avenir Book" w:cs="Times"/>
          <w:color w:val="141413"/>
        </w:rPr>
        <w:t xml:space="preserve">where </w:t>
      </w:r>
      <w:r>
        <w:rPr>
          <w:rFonts w:ascii="Avenir Book" w:hAnsi="Avenir Book" w:cs="Times"/>
          <w:color w:val="141413"/>
        </w:rPr>
        <w:t>t</w:t>
      </w:r>
      <w:r w:rsidRPr="00B821B7">
        <w:rPr>
          <w:rFonts w:ascii="Avenir Book" w:hAnsi="Avenir Book" w:cs="Times"/>
          <w:color w:val="141413"/>
        </w:rPr>
        <w:t>he only way to create scalability is to repress change and encounter</w:t>
      </w:r>
      <w:r w:rsidRPr="00B821B7">
        <w:rPr>
          <w:rFonts w:ascii="Avenir Book" w:eastAsia="Times New Roman" w:hAnsi="Avenir Book" w:cs="Times New Roman"/>
        </w:rPr>
        <w:t>.</w:t>
      </w:r>
      <w:r w:rsidRPr="008A1BB3">
        <w:rPr>
          <w:rFonts w:ascii="Avenir Book" w:eastAsia="Times New Roman" w:hAnsi="Avenir Book" w:cs="Times New Roman"/>
        </w:rPr>
        <w:t xml:space="preserve"> </w:t>
      </w:r>
    </w:p>
    <w:p w14:paraId="54903E57" w14:textId="77777777" w:rsidR="00A02DDD" w:rsidRDefault="00A02DDD" w:rsidP="00A02DDD">
      <w:pPr>
        <w:spacing w:line="360" w:lineRule="auto"/>
        <w:ind w:firstLine="720"/>
        <w:jc w:val="both"/>
        <w:rPr>
          <w:rFonts w:ascii="Avenir Book" w:hAnsi="Avenir Book" w:cs="Times"/>
          <w:color w:val="141413"/>
        </w:rPr>
      </w:pPr>
      <w:r>
        <w:rPr>
          <w:rFonts w:ascii="Times" w:hAnsi="Times" w:cs="Times"/>
          <w:color w:val="141413"/>
          <w:sz w:val="22"/>
          <w:szCs w:val="22"/>
        </w:rPr>
        <w:t>.</w:t>
      </w:r>
    </w:p>
    <w:p w14:paraId="3CB469BF" w14:textId="77777777" w:rsidR="00A02DDD" w:rsidRDefault="00A02DDD" w:rsidP="00A02DDD">
      <w:pPr>
        <w:spacing w:line="360" w:lineRule="auto"/>
        <w:jc w:val="both"/>
        <w:rPr>
          <w:rFonts w:ascii="Avenir Book" w:hAnsi="Avenir Book" w:cs="Times"/>
          <w:color w:val="141413"/>
        </w:rPr>
      </w:pPr>
      <w:r w:rsidRPr="006A43FB">
        <w:rPr>
          <w:rFonts w:ascii="Avenir Book" w:hAnsi="Avenir Book" w:cs="Times"/>
          <w:noProof/>
          <w:color w:val="141413"/>
        </w:rPr>
        <w:drawing>
          <wp:inline distT="0" distB="0" distL="0" distR="0" wp14:anchorId="5DB8FC9D" wp14:editId="3EEC4869">
            <wp:extent cx="2558814" cy="143933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569201" cy="1445176"/>
                    </a:xfrm>
                    <a:prstGeom prst="rect">
                      <a:avLst/>
                    </a:prstGeom>
                  </pic:spPr>
                </pic:pic>
              </a:graphicData>
            </a:graphic>
          </wp:inline>
        </w:drawing>
      </w:r>
    </w:p>
    <w:p w14:paraId="70498B91" w14:textId="77777777" w:rsidR="00A02DDD" w:rsidRPr="0078710D" w:rsidRDefault="00A02DDD" w:rsidP="00A02DDD">
      <w:pPr>
        <w:spacing w:line="360" w:lineRule="auto"/>
        <w:ind w:firstLine="720"/>
        <w:jc w:val="both"/>
        <w:rPr>
          <w:rFonts w:ascii="Times New Roman" w:eastAsia="Times New Roman" w:hAnsi="Times New Roman" w:cs="Times New Roman"/>
        </w:rPr>
      </w:pPr>
      <w:r w:rsidRPr="008A1BB3">
        <w:rPr>
          <w:rFonts w:ascii="Avenir Book" w:hAnsi="Avenir Book" w:cs="Times"/>
          <w:color w:val="141413"/>
        </w:rPr>
        <w:t xml:space="preserve">Scalability theory has not only improved but also naturalized scalability. Here </w:t>
      </w:r>
      <w:r>
        <w:rPr>
          <w:rFonts w:ascii="Avenir Book" w:hAnsi="Avenir Book" w:cs="Times"/>
          <w:color w:val="141413"/>
        </w:rPr>
        <w:t xml:space="preserve">the issue is that </w:t>
      </w:r>
      <w:r w:rsidRPr="008A1BB3">
        <w:rPr>
          <w:rFonts w:ascii="Avenir Book" w:hAnsi="Avenir Book" w:cs="Times"/>
          <w:color w:val="141413"/>
        </w:rPr>
        <w:t xml:space="preserve">a system that is sustainable ought to be scalable, and </w:t>
      </w:r>
      <w:proofErr w:type="spellStart"/>
      <w:r w:rsidRPr="008A1BB3">
        <w:rPr>
          <w:rFonts w:ascii="Avenir Book" w:hAnsi="Avenir Book" w:cs="Times"/>
          <w:color w:val="141413"/>
        </w:rPr>
        <w:t>nonscalable</w:t>
      </w:r>
      <w:proofErr w:type="spellEnd"/>
      <w:r w:rsidRPr="008A1BB3">
        <w:rPr>
          <w:rFonts w:ascii="Avenir Book" w:hAnsi="Avenir Book" w:cs="Times"/>
          <w:color w:val="141413"/>
        </w:rPr>
        <w:t xml:space="preserve"> systems are understood to be flawed. The</w:t>
      </w:r>
      <w:r>
        <w:rPr>
          <w:rFonts w:ascii="Avenir Book" w:hAnsi="Avenir Book" w:cs="Times"/>
          <w:color w:val="141413"/>
        </w:rPr>
        <w:t>refore, the</w:t>
      </w:r>
      <w:r w:rsidRPr="008A1BB3">
        <w:rPr>
          <w:rFonts w:ascii="Avenir Book" w:hAnsi="Avenir Book" w:cs="Times"/>
          <w:color w:val="141413"/>
        </w:rPr>
        <w:t xml:space="preserve"> first step in building </w:t>
      </w:r>
      <w:proofErr w:type="spellStart"/>
      <w:r w:rsidRPr="008A1BB3">
        <w:rPr>
          <w:rFonts w:ascii="Avenir Book" w:hAnsi="Avenir Book" w:cs="Times"/>
          <w:color w:val="141413"/>
        </w:rPr>
        <w:t>nonscalability</w:t>
      </w:r>
      <w:proofErr w:type="spellEnd"/>
      <w:r w:rsidRPr="008A1BB3">
        <w:rPr>
          <w:rFonts w:ascii="Avenir Book" w:hAnsi="Avenir Book" w:cs="Times"/>
          <w:color w:val="141413"/>
        </w:rPr>
        <w:t xml:space="preserve"> theory, Tsing argues, is to denaturalize scalability, revealing its </w:t>
      </w:r>
      <w:r>
        <w:rPr>
          <w:rFonts w:ascii="Avenir Book" w:hAnsi="Avenir Book" w:cs="Times"/>
          <w:color w:val="141413"/>
        </w:rPr>
        <w:t xml:space="preserve">specific </w:t>
      </w:r>
      <w:r w:rsidRPr="008A1BB3">
        <w:rPr>
          <w:rFonts w:ascii="Avenir Book" w:hAnsi="Avenir Book" w:cs="Times"/>
          <w:color w:val="141413"/>
        </w:rPr>
        <w:t xml:space="preserve">historicity and specifying alternatives. </w:t>
      </w:r>
      <w:proofErr w:type="spellStart"/>
      <w:r w:rsidRPr="008A1BB3">
        <w:rPr>
          <w:rFonts w:ascii="Avenir Book" w:hAnsi="Avenir Book" w:cs="Times"/>
          <w:color w:val="141413"/>
        </w:rPr>
        <w:t>Nonscalability</w:t>
      </w:r>
      <w:proofErr w:type="spellEnd"/>
      <w:r w:rsidRPr="008A1BB3">
        <w:rPr>
          <w:rFonts w:ascii="Avenir Book" w:hAnsi="Avenir Book" w:cs="Times"/>
          <w:color w:val="141413"/>
        </w:rPr>
        <w:t xml:space="preserve"> theory makes it possible to see how scalability uses articulations with </w:t>
      </w:r>
      <w:proofErr w:type="spellStart"/>
      <w:r w:rsidRPr="008A1BB3">
        <w:rPr>
          <w:rFonts w:ascii="Avenir Book" w:hAnsi="Avenir Book" w:cs="Times"/>
          <w:color w:val="141413"/>
        </w:rPr>
        <w:t>nonscalable</w:t>
      </w:r>
      <w:proofErr w:type="spellEnd"/>
      <w:r w:rsidRPr="008A1BB3">
        <w:rPr>
          <w:rFonts w:ascii="Avenir Book" w:hAnsi="Avenir Book" w:cs="Times"/>
          <w:color w:val="141413"/>
        </w:rPr>
        <w:t xml:space="preserve"> forms even as it denies or erases them. </w:t>
      </w:r>
      <w:proofErr w:type="spellStart"/>
      <w:r w:rsidRPr="008A1BB3">
        <w:rPr>
          <w:rFonts w:ascii="Avenir Book" w:hAnsi="Avenir Book" w:cs="Times"/>
          <w:color w:val="141413"/>
        </w:rPr>
        <w:t>Nonscalability</w:t>
      </w:r>
      <w:proofErr w:type="spellEnd"/>
      <w:r w:rsidRPr="008A1BB3">
        <w:rPr>
          <w:rFonts w:ascii="Avenir Book" w:hAnsi="Avenir Book" w:cs="Times"/>
          <w:color w:val="141413"/>
        </w:rPr>
        <w:t xml:space="preserve"> theory allows scales to arise from the relationships that inform particular projects, scenes, or events. Many scale-making projects compete for the scholar or world-builder’s attention; the trick is to trace or make relationships between projects. Instead of taking scalability for granted as a necessary tool of progress, </w:t>
      </w:r>
      <w:proofErr w:type="spellStart"/>
      <w:r w:rsidRPr="008A1BB3">
        <w:rPr>
          <w:rFonts w:ascii="Avenir Book" w:hAnsi="Avenir Book" w:cs="Times"/>
          <w:color w:val="141413"/>
        </w:rPr>
        <w:t>nonscalability</w:t>
      </w:r>
      <w:proofErr w:type="spellEnd"/>
      <w:r w:rsidRPr="008A1BB3">
        <w:rPr>
          <w:rFonts w:ascii="Avenir Book" w:hAnsi="Avenir Book" w:cs="Times"/>
          <w:color w:val="141413"/>
        </w:rPr>
        <w:t xml:space="preserve"> theory attends to the work of contingency and failure</w:t>
      </w:r>
      <w:r w:rsidRPr="0078710D">
        <w:rPr>
          <w:rFonts w:ascii="Avenir Book" w:hAnsi="Avenir Book" w:cs="Times"/>
          <w:color w:val="141413"/>
        </w:rPr>
        <w:t xml:space="preserve">. </w:t>
      </w:r>
      <w:r w:rsidRPr="0078710D">
        <w:rPr>
          <w:rFonts w:ascii="Avenir Book" w:eastAsia="Times New Roman" w:hAnsi="Avenir Book" w:cs="Times New Roman"/>
        </w:rPr>
        <w:t>It is about “looking around rather than ahead”, to cultivate the vulnerability to unexpected encounters (with entities, objects, disciplines).</w:t>
      </w:r>
    </w:p>
    <w:p w14:paraId="507C28F2" w14:textId="77777777" w:rsidR="00A02DDD" w:rsidRDefault="00A02DDD" w:rsidP="00A02DDD">
      <w:pPr>
        <w:rPr>
          <w:rFonts w:ascii="Avenir Book" w:hAnsi="Avenir Book" w:cs="Times"/>
          <w:color w:val="141413"/>
        </w:rPr>
      </w:pPr>
      <w:r w:rsidRPr="00E962DA">
        <w:rPr>
          <w:rFonts w:ascii="Avenir Book" w:hAnsi="Avenir Book" w:cs="Times"/>
          <w:noProof/>
          <w:color w:val="141413"/>
        </w:rPr>
        <w:drawing>
          <wp:inline distT="0" distB="0" distL="0" distR="0" wp14:anchorId="09E67F70" wp14:editId="6F5CCD1B">
            <wp:extent cx="3311406" cy="1862666"/>
            <wp:effectExtent l="0" t="0" r="381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321949" cy="1868596"/>
                    </a:xfrm>
                    <a:prstGeom prst="rect">
                      <a:avLst/>
                    </a:prstGeom>
                  </pic:spPr>
                </pic:pic>
              </a:graphicData>
            </a:graphic>
          </wp:inline>
        </w:drawing>
      </w:r>
    </w:p>
    <w:p w14:paraId="463B9BB6" w14:textId="77777777" w:rsidR="00A02DDD" w:rsidRDefault="00A02DDD" w:rsidP="00A02DDD">
      <w:pPr>
        <w:rPr>
          <w:rFonts w:ascii="Avenir Book" w:hAnsi="Avenir Book" w:cs="Times"/>
          <w:color w:val="141413"/>
        </w:rPr>
      </w:pPr>
    </w:p>
    <w:p w14:paraId="77D1801D" w14:textId="77777777" w:rsidR="00A02DDD" w:rsidRPr="008A1BB3" w:rsidRDefault="00A02DDD" w:rsidP="00A02DDD">
      <w:pPr>
        <w:spacing w:line="360" w:lineRule="auto"/>
        <w:jc w:val="both"/>
        <w:rPr>
          <w:rFonts w:ascii="Avenir Book" w:hAnsi="Avenir Book" w:cs="Times"/>
          <w:color w:val="141413"/>
        </w:rPr>
      </w:pPr>
      <w:proofErr w:type="gramStart"/>
      <w:r>
        <w:rPr>
          <w:rFonts w:ascii="Avenir Book" w:hAnsi="Avenir Book" w:cs="Times"/>
          <w:color w:val="141413"/>
        </w:rPr>
        <w:t>So</w:t>
      </w:r>
      <w:proofErr w:type="gramEnd"/>
      <w:r>
        <w:rPr>
          <w:rFonts w:ascii="Avenir Book" w:hAnsi="Avenir Book" w:cs="Times"/>
          <w:color w:val="141413"/>
        </w:rPr>
        <w:t xml:space="preserve"> going back to the third way we can start to address the problem is by devising practical alternatives and new ways of organization, which we have been doing through amongst others through the radical OA collective and the newly formed </w:t>
      </w:r>
      <w:proofErr w:type="spellStart"/>
      <w:r>
        <w:rPr>
          <w:rFonts w:ascii="Avenir Book" w:hAnsi="Avenir Book" w:cs="Times"/>
          <w:color w:val="141413"/>
        </w:rPr>
        <w:t>ScholarLed</w:t>
      </w:r>
      <w:proofErr w:type="spellEnd"/>
    </w:p>
    <w:p w14:paraId="3B2CC110" w14:textId="77777777" w:rsidR="00A02DDD" w:rsidRPr="008A1BB3" w:rsidRDefault="00A02DDD" w:rsidP="00A02DDD">
      <w:pPr>
        <w:spacing w:line="360" w:lineRule="auto"/>
        <w:jc w:val="both"/>
        <w:rPr>
          <w:rFonts w:ascii="Avenir Book" w:hAnsi="Avenir Book" w:cs="Times"/>
          <w:color w:val="000000" w:themeColor="text1"/>
        </w:rPr>
      </w:pPr>
      <w:r w:rsidRPr="006A43FB">
        <w:rPr>
          <w:rFonts w:ascii="Avenir Book" w:hAnsi="Avenir Book" w:cs="Times"/>
          <w:noProof/>
          <w:color w:val="000000" w:themeColor="text1"/>
        </w:rPr>
        <w:drawing>
          <wp:inline distT="0" distB="0" distL="0" distR="0" wp14:anchorId="09B6EB5F" wp14:editId="52A55E23">
            <wp:extent cx="5358461" cy="3014134"/>
            <wp:effectExtent l="0" t="0" r="127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375639" cy="3023796"/>
                    </a:xfrm>
                    <a:prstGeom prst="rect">
                      <a:avLst/>
                    </a:prstGeom>
                  </pic:spPr>
                </pic:pic>
              </a:graphicData>
            </a:graphic>
          </wp:inline>
        </w:drawing>
      </w:r>
    </w:p>
    <w:p w14:paraId="3EF74546" w14:textId="77777777" w:rsidR="00A02DDD" w:rsidRPr="00FE4C84" w:rsidRDefault="00A02DDD" w:rsidP="00A02DDD">
      <w:pPr>
        <w:spacing w:line="360" w:lineRule="auto"/>
        <w:jc w:val="both"/>
        <w:rPr>
          <w:rFonts w:ascii="Avenir Book" w:eastAsia="Times New Roman" w:hAnsi="Avenir Book" w:cs="Times New Roman"/>
          <w:color w:val="000000" w:themeColor="text1"/>
        </w:rPr>
      </w:pPr>
      <w:r w:rsidRPr="00FE4C84">
        <w:rPr>
          <w:rFonts w:ascii="Avenir Book" w:eastAsia="Times New Roman" w:hAnsi="Avenir Book" w:cs="Times New Roman"/>
          <w:color w:val="000000" w:themeColor="text1"/>
          <w:spacing w:val="-8"/>
          <w:shd w:val="clear" w:color="auto" w:fill="FFFFFF"/>
        </w:rPr>
        <w:t>Two models of collaboration have s</w:t>
      </w:r>
      <w:r>
        <w:rPr>
          <w:rFonts w:ascii="Avenir Book" w:eastAsia="Times New Roman" w:hAnsi="Avenir Book" w:cs="Times New Roman"/>
          <w:color w:val="000000" w:themeColor="text1"/>
          <w:spacing w:val="-8"/>
          <w:shd w:val="clear" w:color="auto" w:fill="FFFFFF"/>
        </w:rPr>
        <w:t xml:space="preserve">tood out in these developments. </w:t>
      </w:r>
      <w:r w:rsidRPr="00FE4C84">
        <w:rPr>
          <w:rFonts w:ascii="Avenir Book" w:eastAsia="Times New Roman" w:hAnsi="Avenir Book" w:cs="Times New Roman"/>
          <w:color w:val="000000" w:themeColor="text1"/>
          <w:spacing w:val="-8"/>
          <w:shd w:val="clear" w:color="auto" w:fill="FFFFFF"/>
        </w:rPr>
        <w:t>Firstly, a model that focuses on </w:t>
      </w:r>
      <w:r w:rsidRPr="008A1BB3">
        <w:rPr>
          <w:rFonts w:ascii="Avenir Book" w:eastAsia="Times New Roman" w:hAnsi="Avenir Book" w:cs="Times New Roman"/>
          <w:iCs/>
          <w:color w:val="000000" w:themeColor="text1"/>
          <w:spacing w:val="-8"/>
          <w:bdr w:val="none" w:sz="0" w:space="0" w:color="auto" w:frame="1"/>
          <w:shd w:val="clear" w:color="auto" w:fill="FFFFFF"/>
        </w:rPr>
        <w:t>alliances of small independent projects within a certain sector</w:t>
      </w:r>
      <w:r w:rsidRPr="00FE4C84">
        <w:rPr>
          <w:rFonts w:ascii="Avenir Book" w:eastAsia="Times New Roman" w:hAnsi="Avenir Book" w:cs="Times New Roman"/>
          <w:color w:val="000000" w:themeColor="text1"/>
          <w:spacing w:val="-8"/>
          <w:shd w:val="clear" w:color="auto" w:fill="FFFFFF"/>
        </w:rPr>
        <w:t> (such as publishers) </w:t>
      </w:r>
      <w:r w:rsidRPr="008A1BB3">
        <w:rPr>
          <w:rFonts w:ascii="Avenir Book" w:eastAsia="Times New Roman" w:hAnsi="Avenir Book" w:cs="Times New Roman"/>
          <w:iCs/>
          <w:color w:val="000000" w:themeColor="text1"/>
          <w:spacing w:val="-8"/>
          <w:bdr w:val="none" w:sz="0" w:space="0" w:color="auto" w:frame="1"/>
          <w:shd w:val="clear" w:color="auto" w:fill="FFFFFF"/>
        </w:rPr>
        <w:t>in collectives</w:t>
      </w:r>
      <w:r w:rsidRPr="00FE4C84">
        <w:rPr>
          <w:rFonts w:ascii="Avenir Book" w:eastAsia="Times New Roman" w:hAnsi="Avenir Book" w:cs="Times New Roman"/>
          <w:color w:val="000000" w:themeColor="text1"/>
          <w:spacing w:val="-8"/>
          <w:shd w:val="clear" w:color="auto" w:fill="FFFFFF"/>
        </w:rPr>
        <w:t> (horizontally) to create economies of scale, and secondly, one which encompasses </w:t>
      </w:r>
      <w:r w:rsidRPr="008A1BB3">
        <w:rPr>
          <w:rFonts w:ascii="Avenir Book" w:eastAsia="Times New Roman" w:hAnsi="Avenir Book" w:cs="Times New Roman"/>
          <w:iCs/>
          <w:color w:val="000000" w:themeColor="text1"/>
          <w:spacing w:val="-8"/>
          <w:bdr w:val="none" w:sz="0" w:space="0" w:color="auto" w:frame="1"/>
          <w:shd w:val="clear" w:color="auto" w:fill="FFFFFF"/>
        </w:rPr>
        <w:t>collaboration across sectors or fields</w:t>
      </w:r>
      <w:r w:rsidRPr="00FE4C84">
        <w:rPr>
          <w:rFonts w:ascii="Avenir Book" w:eastAsia="Times New Roman" w:hAnsi="Avenir Book" w:cs="Times New Roman"/>
          <w:color w:val="000000" w:themeColor="text1"/>
          <w:spacing w:val="-8"/>
          <w:shd w:val="clear" w:color="auto" w:fill="FFFFFF"/>
        </w:rPr>
        <w:t> (vertically) to create multi-stakeholder ecologies.</w:t>
      </w:r>
    </w:p>
    <w:p w14:paraId="2F296CB1" w14:textId="77777777" w:rsidR="00A02DDD" w:rsidRPr="008A1BB3" w:rsidRDefault="00A02DDD" w:rsidP="00A02DDD">
      <w:pPr>
        <w:spacing w:line="360" w:lineRule="auto"/>
        <w:jc w:val="both"/>
        <w:rPr>
          <w:rFonts w:ascii="Avenir Book" w:hAnsi="Avenir Book" w:cs="Times"/>
          <w:color w:val="000000" w:themeColor="text1"/>
        </w:rPr>
      </w:pPr>
    </w:p>
    <w:p w14:paraId="633B891B" w14:textId="77777777" w:rsidR="00A02DDD" w:rsidRPr="004031F5" w:rsidRDefault="00A02DDD" w:rsidP="00A02DDD">
      <w:pPr>
        <w:spacing w:line="360" w:lineRule="auto"/>
        <w:jc w:val="both"/>
        <w:rPr>
          <w:rFonts w:ascii="Avenir Book" w:eastAsia="Times New Roman" w:hAnsi="Avenir Book" w:cs="Times New Roman"/>
          <w:color w:val="000000" w:themeColor="text1"/>
        </w:rPr>
      </w:pPr>
      <w:r w:rsidRPr="004031F5">
        <w:rPr>
          <w:rFonts w:ascii="Avenir Book" w:eastAsia="Times New Roman" w:hAnsi="Avenir Book" w:cs="Times New Roman"/>
          <w:color w:val="000000" w:themeColor="text1"/>
          <w:spacing w:val="-8"/>
          <w:shd w:val="clear" w:color="auto" w:fill="FFFFFF"/>
        </w:rPr>
        <w:t xml:space="preserve">Collectives here function as organizations with a non-hierarchical (or flat or horizontal) structure, where all the members of the collective participate in decision-making processes. These forms of publishing can represent collaboration within scholarly networks, for example, encouraging informal relationships and community-forming between (groups of) scholars interested in helping one another to publish research. The scholar-run Open Humanities Press (OHP) exists as such a community of critical and cultural theorists: it involves multiple, self-governing scholarly groups, organized around journals or book series, and includes academics, librarians, </w:t>
      </w:r>
      <w:r w:rsidRPr="004031F5">
        <w:rPr>
          <w:rFonts w:ascii="Avenir Book" w:eastAsia="Times New Roman" w:hAnsi="Avenir Book" w:cs="Times New Roman"/>
          <w:color w:val="000000" w:themeColor="text1"/>
          <w:spacing w:val="-8"/>
          <w:shd w:val="clear" w:color="auto" w:fill="FFFFFF"/>
        </w:rPr>
        <w:lastRenderedPageBreak/>
        <w:t>publishers, technologists, journal editors, etc., operating as a radically heterogeneous collective</w:t>
      </w:r>
      <w:r>
        <w:rPr>
          <w:rFonts w:ascii="Avenir Book" w:eastAsia="Times New Roman" w:hAnsi="Avenir Book" w:cs="Times New Roman"/>
          <w:color w:val="000000" w:themeColor="text1"/>
          <w:spacing w:val="-8"/>
          <w:shd w:val="clear" w:color="auto" w:fill="FFFFFF"/>
        </w:rPr>
        <w:t>. The Radical Open Access Collective is another community that applies a similar model, but on a larger scale.</w:t>
      </w:r>
    </w:p>
    <w:p w14:paraId="7E07C398" w14:textId="77777777" w:rsidR="00A02DDD" w:rsidRPr="008A1BB3" w:rsidRDefault="00A02DDD" w:rsidP="00A02DDD">
      <w:pPr>
        <w:spacing w:line="360" w:lineRule="auto"/>
        <w:jc w:val="both"/>
        <w:rPr>
          <w:rFonts w:ascii="Avenir Book" w:hAnsi="Avenir Book" w:cs="Times"/>
          <w:color w:val="000000" w:themeColor="text1"/>
        </w:rPr>
      </w:pPr>
    </w:p>
    <w:p w14:paraId="0AE7A8EA" w14:textId="77777777" w:rsidR="00A02DDD" w:rsidRDefault="00A02DDD" w:rsidP="00A02DDD">
      <w:pPr>
        <w:spacing w:line="360" w:lineRule="auto"/>
        <w:jc w:val="both"/>
        <w:rPr>
          <w:rFonts w:ascii="Avenir Book" w:eastAsia="Times New Roman" w:hAnsi="Avenir Book" w:cs="Times New Roman"/>
          <w:color w:val="000000" w:themeColor="text1"/>
        </w:rPr>
      </w:pPr>
      <w:r>
        <w:rPr>
          <w:rFonts w:ascii="Avenir Book" w:eastAsia="Times New Roman" w:hAnsi="Avenir Book" w:cs="Times New Roman"/>
          <w:color w:val="000000" w:themeColor="text1"/>
          <w:spacing w:val="-8"/>
          <w:shd w:val="clear" w:color="auto" w:fill="FFFFFF"/>
        </w:rPr>
        <w:t>M</w:t>
      </w:r>
      <w:r w:rsidRPr="008A1BB3">
        <w:rPr>
          <w:rFonts w:ascii="Avenir Book" w:eastAsia="Times New Roman" w:hAnsi="Avenir Book" w:cs="Times New Roman"/>
          <w:iCs/>
          <w:color w:val="000000" w:themeColor="text1"/>
          <w:spacing w:val="-8"/>
          <w:bdr w:val="none" w:sz="0" w:space="0" w:color="auto" w:frame="1"/>
          <w:shd w:val="clear" w:color="auto" w:fill="FFFFFF"/>
        </w:rPr>
        <w:t>ulti-stakeholder collaborations</w:t>
      </w:r>
      <w:r>
        <w:rPr>
          <w:rFonts w:ascii="Avenir Book" w:eastAsia="Times New Roman" w:hAnsi="Avenir Book" w:cs="Times New Roman"/>
          <w:iCs/>
          <w:color w:val="000000" w:themeColor="text1"/>
          <w:spacing w:val="-8"/>
          <w:bdr w:val="none" w:sz="0" w:space="0" w:color="auto" w:frame="1"/>
          <w:shd w:val="clear" w:color="auto" w:fill="FFFFFF"/>
        </w:rPr>
        <w:t xml:space="preserve"> </w:t>
      </w:r>
      <w:r w:rsidRPr="004031F5">
        <w:rPr>
          <w:rFonts w:ascii="Avenir Book" w:eastAsia="Times New Roman" w:hAnsi="Avenir Book" w:cs="Times New Roman"/>
          <w:color w:val="000000" w:themeColor="text1"/>
          <w:spacing w:val="-8"/>
          <w:shd w:val="clear" w:color="auto" w:fill="FFFFFF"/>
        </w:rPr>
        <w:t>form another important strategy in making not-for-profit, independent publishing more resilient. Collaborations involving libraries, universities, funding agencies and infrastructure providers, all with a shared interest in the public value of knowledge, are examples of this. Here, there is scope for thinking of the various not-for-profit entities within scholarly communication as potential community partners in the emerging OA commons of academic publishing. The aim then becomes to realign the existing resources in the system of academic publishing, and to direct them to alternative not-for-profit collaborative models.</w:t>
      </w:r>
    </w:p>
    <w:p w14:paraId="7447D4DF" w14:textId="77777777" w:rsidR="00A02DDD" w:rsidRDefault="00A02DDD" w:rsidP="00A02DDD">
      <w:pPr>
        <w:spacing w:line="360" w:lineRule="auto"/>
        <w:jc w:val="both"/>
        <w:rPr>
          <w:rFonts w:ascii="Avenir Book" w:eastAsia="Times New Roman" w:hAnsi="Avenir Book" w:cs="Times New Roman"/>
          <w:color w:val="000000" w:themeColor="text1"/>
        </w:rPr>
      </w:pPr>
    </w:p>
    <w:p w14:paraId="02BE743D" w14:textId="77777777" w:rsidR="00A02DDD" w:rsidRDefault="00A02DDD" w:rsidP="00A02DDD">
      <w:pPr>
        <w:pStyle w:val="Heading2"/>
        <w:shd w:val="clear" w:color="auto" w:fill="FFFFFF"/>
        <w:spacing w:before="0" w:beforeAutospacing="0" w:after="0" w:afterAutospacing="0" w:line="360" w:lineRule="auto"/>
        <w:jc w:val="both"/>
        <w:rPr>
          <w:rFonts w:ascii="Avenir Book" w:hAnsi="Avenir Book" w:cs="Arial"/>
          <w:b w:val="0"/>
          <w:bCs w:val="0"/>
          <w:color w:val="111111"/>
          <w:sz w:val="24"/>
          <w:szCs w:val="24"/>
        </w:rPr>
      </w:pPr>
      <w:r w:rsidRPr="00094DC9">
        <w:rPr>
          <w:rFonts w:ascii="Avenir Book" w:hAnsi="Avenir Book"/>
          <w:b w:val="0"/>
          <w:color w:val="000000" w:themeColor="text1"/>
          <w:sz w:val="24"/>
          <w:szCs w:val="24"/>
          <w:lang w:eastAsia="en-GB"/>
        </w:rPr>
        <w:t xml:space="preserve">The newly formed </w:t>
      </w:r>
      <w:proofErr w:type="spellStart"/>
      <w:r w:rsidRPr="00094DC9">
        <w:rPr>
          <w:rFonts w:ascii="Avenir Book" w:hAnsi="Avenir Book"/>
          <w:b w:val="0"/>
          <w:color w:val="000000" w:themeColor="text1"/>
          <w:sz w:val="24"/>
          <w:szCs w:val="24"/>
          <w:lang w:eastAsia="en-GB"/>
        </w:rPr>
        <w:t>ScholarLed</w:t>
      </w:r>
      <w:proofErr w:type="spellEnd"/>
      <w:r w:rsidRPr="00094DC9">
        <w:rPr>
          <w:rFonts w:ascii="Avenir Book" w:hAnsi="Avenir Book"/>
          <w:b w:val="0"/>
          <w:color w:val="000000" w:themeColor="text1"/>
          <w:sz w:val="24"/>
          <w:szCs w:val="24"/>
          <w:lang w:eastAsia="en-GB"/>
        </w:rPr>
        <w:t xml:space="preserve">, intends to set up and expand exactly these kinds of collaborations and relationships. </w:t>
      </w:r>
      <w:r w:rsidRPr="00094DC9">
        <w:rPr>
          <w:rFonts w:ascii="Avenir Book" w:hAnsi="Avenir Book" w:cs="Arial"/>
          <w:b w:val="0"/>
          <w:bCs w:val="0"/>
          <w:color w:val="111111"/>
          <w:sz w:val="24"/>
          <w:szCs w:val="24"/>
        </w:rPr>
        <w:t xml:space="preserve">A Consortium of 6 more established scholar-led academic book publishers, who all are </w:t>
      </w:r>
      <w:r>
        <w:rPr>
          <w:rFonts w:ascii="Avenir Book" w:hAnsi="Avenir Book" w:cs="Arial"/>
          <w:b w:val="0"/>
          <w:bCs w:val="0"/>
          <w:color w:val="111111"/>
          <w:sz w:val="24"/>
          <w:szCs w:val="24"/>
        </w:rPr>
        <w:t xml:space="preserve">also </w:t>
      </w:r>
      <w:r w:rsidRPr="00094DC9">
        <w:rPr>
          <w:rFonts w:ascii="Avenir Book" w:hAnsi="Avenir Book" w:cs="Arial"/>
          <w:b w:val="0"/>
          <w:bCs w:val="0"/>
          <w:color w:val="111111"/>
          <w:sz w:val="24"/>
          <w:szCs w:val="24"/>
        </w:rPr>
        <w:t>members of the radical open access collective, they aim to together develop new tools, workflows, infrastructures and processes to support the consortium as well as scholar-led publishing more in general, next to setting up new vertical alliances that will further support not-for-profit publishing more in general.</w:t>
      </w:r>
    </w:p>
    <w:p w14:paraId="5F7DFA23" w14:textId="77777777" w:rsidR="00A02DDD" w:rsidRDefault="00A02DDD" w:rsidP="00A02DDD">
      <w:pPr>
        <w:pStyle w:val="Heading2"/>
        <w:shd w:val="clear" w:color="auto" w:fill="FFFFFF"/>
        <w:spacing w:before="0" w:beforeAutospacing="0" w:after="0" w:afterAutospacing="0" w:line="360" w:lineRule="auto"/>
        <w:jc w:val="both"/>
        <w:rPr>
          <w:rFonts w:ascii="Avenir Book" w:hAnsi="Avenir Book" w:cs="Arial"/>
          <w:b w:val="0"/>
          <w:bCs w:val="0"/>
          <w:color w:val="111111"/>
          <w:sz w:val="24"/>
          <w:szCs w:val="24"/>
        </w:rPr>
      </w:pPr>
    </w:p>
    <w:p w14:paraId="7EF1F079" w14:textId="77777777" w:rsidR="00A02DDD" w:rsidRPr="00ED415F" w:rsidRDefault="00A02DDD" w:rsidP="00A02DDD">
      <w:pPr>
        <w:shd w:val="clear" w:color="auto" w:fill="FFFFFF"/>
        <w:spacing w:line="360" w:lineRule="auto"/>
        <w:jc w:val="both"/>
        <w:textAlignment w:val="baseline"/>
        <w:rPr>
          <w:rFonts w:ascii="Avenir Book" w:hAnsi="Avenir Book" w:cs="Times New Roman"/>
          <w:color w:val="000000" w:themeColor="text1"/>
          <w:lang w:eastAsia="en-GB"/>
        </w:rPr>
      </w:pPr>
      <w:r w:rsidRPr="00094DC9">
        <w:rPr>
          <w:rFonts w:ascii="Avenir Book" w:hAnsi="Avenir Book" w:cs="Times New Roman"/>
          <w:color w:val="000000" w:themeColor="text1"/>
          <w:lang w:eastAsia="en-GB"/>
        </w:rPr>
        <w:t xml:space="preserve">As such the consortium is actively involved in attaining funding to resolve some of the most pressing </w:t>
      </w:r>
      <w:r w:rsidRPr="00A367D4">
        <w:rPr>
          <w:rFonts w:ascii="Avenir Book" w:eastAsia="Times New Roman" w:hAnsi="Avenir Book" w:cs="Arial"/>
          <w:color w:val="000000"/>
        </w:rPr>
        <w:t>barriers that are preventing small publishers from interfacing with large scale infrastructures. Existing infrastructures for the discovery, distribution and archiving of scholarly books have been designed primari</w:t>
      </w:r>
      <w:r w:rsidRPr="00094DC9">
        <w:rPr>
          <w:rFonts w:ascii="Avenir Book" w:eastAsia="Times New Roman" w:hAnsi="Avenir Book" w:cs="Arial"/>
          <w:color w:val="000000"/>
        </w:rPr>
        <w:t>ly for commercial, large, non-open access</w:t>
      </w:r>
      <w:r w:rsidRPr="00A367D4">
        <w:rPr>
          <w:rFonts w:ascii="Avenir Book" w:eastAsia="Times New Roman" w:hAnsi="Avenir Book" w:cs="Arial"/>
          <w:color w:val="000000"/>
        </w:rPr>
        <w:t xml:space="preserve"> publi</w:t>
      </w:r>
      <w:r w:rsidRPr="00094DC9">
        <w:rPr>
          <w:rFonts w:ascii="Avenir Book" w:eastAsia="Times New Roman" w:hAnsi="Avenir Book" w:cs="Arial"/>
          <w:color w:val="000000"/>
        </w:rPr>
        <w:t xml:space="preserve">shers. This often renders them </w:t>
      </w:r>
      <w:r w:rsidRPr="00A367D4">
        <w:rPr>
          <w:rFonts w:ascii="Avenir Book" w:eastAsia="Times New Roman" w:hAnsi="Avenir Book" w:cs="Arial"/>
          <w:color w:val="000000"/>
        </w:rPr>
        <w:t>fu</w:t>
      </w:r>
      <w:r w:rsidRPr="00094DC9">
        <w:rPr>
          <w:rFonts w:ascii="Avenir Book" w:eastAsia="Times New Roman" w:hAnsi="Avenir Book" w:cs="Arial"/>
          <w:color w:val="000000"/>
        </w:rPr>
        <w:t>ndamentally inappropriate for open access</w:t>
      </w:r>
      <w:r w:rsidRPr="00A367D4">
        <w:rPr>
          <w:rFonts w:ascii="Avenir Book" w:eastAsia="Times New Roman" w:hAnsi="Avenir Book" w:cs="Arial"/>
          <w:color w:val="000000"/>
        </w:rPr>
        <w:t xml:space="preserve"> content</w:t>
      </w:r>
      <w:r w:rsidRPr="00094DC9">
        <w:rPr>
          <w:rFonts w:ascii="Avenir Book" w:eastAsia="Times New Roman" w:hAnsi="Avenir Book" w:cs="Arial"/>
          <w:color w:val="000000"/>
        </w:rPr>
        <w:t xml:space="preserve"> and for small scholar-led publishing initiatives operating independent from large </w:t>
      </w:r>
      <w:r w:rsidRPr="00094DC9">
        <w:rPr>
          <w:rFonts w:ascii="Avenir Book" w:eastAsia="Times New Roman" w:hAnsi="Avenir Book" w:cs="Arial"/>
          <w:color w:val="000000"/>
        </w:rPr>
        <w:lastRenderedPageBreak/>
        <w:t>commercial publishers</w:t>
      </w:r>
      <w:r w:rsidRPr="00A367D4">
        <w:rPr>
          <w:rFonts w:ascii="Avenir Book" w:eastAsia="Times New Roman" w:hAnsi="Avenir Book" w:cs="Arial"/>
          <w:color w:val="000000"/>
        </w:rPr>
        <w:t>.</w:t>
      </w:r>
      <w:r w:rsidRPr="00094DC9">
        <w:rPr>
          <w:rFonts w:ascii="Avenir Book" w:eastAsia="Times New Roman" w:hAnsi="Avenir Book" w:cs="Arial"/>
          <w:color w:val="000000"/>
        </w:rPr>
        <w:t xml:space="preserve"> </w:t>
      </w:r>
      <w:r w:rsidRPr="00094DC9">
        <w:rPr>
          <w:rFonts w:ascii="Avenir Book" w:hAnsi="Avenir Book" w:cs="Times New Roman"/>
          <w:color w:val="000000" w:themeColor="text1"/>
          <w:lang w:eastAsia="en-GB"/>
        </w:rPr>
        <w:t xml:space="preserve">Building up from a shared catalogue, we are therefore working towards </w:t>
      </w:r>
      <w:r w:rsidRPr="00094DC9">
        <w:rPr>
          <w:rFonts w:ascii="Avenir Book" w:eastAsia="Times New Roman" w:hAnsi="Avenir Book" w:cs="Arial"/>
          <w:color w:val="000000"/>
        </w:rPr>
        <w:t>s</w:t>
      </w:r>
      <w:r w:rsidRPr="00D16B5C">
        <w:rPr>
          <w:rFonts w:ascii="Avenir Book" w:eastAsia="Times New Roman" w:hAnsi="Avenir Book" w:cs="Arial"/>
          <w:color w:val="000000"/>
        </w:rPr>
        <w:t xml:space="preserve">treamlining processes for </w:t>
      </w:r>
      <w:r w:rsidRPr="00094DC9">
        <w:rPr>
          <w:rFonts w:ascii="Avenir Book" w:eastAsia="Times New Roman" w:hAnsi="Avenir Book" w:cs="Arial"/>
          <w:color w:val="000000"/>
        </w:rPr>
        <w:t xml:space="preserve">the </w:t>
      </w:r>
      <w:r w:rsidRPr="00D16B5C">
        <w:rPr>
          <w:rFonts w:ascii="Avenir Book" w:eastAsia="Times New Roman" w:hAnsi="Avenir Book" w:cs="Arial"/>
          <w:color w:val="000000"/>
        </w:rPr>
        <w:t xml:space="preserve">creation of metadata </w:t>
      </w:r>
      <w:r w:rsidRPr="00094DC9">
        <w:rPr>
          <w:rFonts w:ascii="Avenir Book" w:hAnsi="Avenir Book" w:cs="Times New Roman"/>
          <w:color w:val="000000" w:themeColor="text1"/>
          <w:lang w:eastAsia="en-GB"/>
        </w:rPr>
        <w:t>for the consortium and better integration of open access titles into library catalogues. We have created an open source collaborative conference presence and bookstand and are actively exploring how we can better archive multimodal monograph content.</w:t>
      </w:r>
    </w:p>
    <w:p w14:paraId="22A3480C" w14:textId="2D1952C9" w:rsidR="00A02DDD" w:rsidRDefault="00A02DDD" w:rsidP="00A02DDD">
      <w:pPr>
        <w:spacing w:line="360" w:lineRule="auto"/>
        <w:ind w:firstLine="720"/>
        <w:jc w:val="both"/>
        <w:rPr>
          <w:rFonts w:ascii="Avenir Book" w:eastAsia="Times New Roman" w:hAnsi="Avenir Book" w:cs="Arial"/>
          <w:color w:val="000000" w:themeColor="text1"/>
        </w:rPr>
      </w:pPr>
      <w:r w:rsidRPr="008A1BB3">
        <w:rPr>
          <w:rFonts w:ascii="Avenir Book" w:eastAsia="Times New Roman" w:hAnsi="Avenir Book" w:cs="Arial"/>
          <w:color w:val="000000" w:themeColor="text1"/>
        </w:rPr>
        <w:t>As such we are working towards a collaborative rather than a competitive ecosystem, which, next to stimulating innovation in digital knowledge production, will support scholar-led presses to scale in a horizontal manner by building alliances with other not-for-profit players, including libraries, universities and university presses. Yet this isn’t simply a project that wants to slot scholar-led presses into existing systems and infrastructures, that wants to turn scholar</w:t>
      </w:r>
      <w:r>
        <w:rPr>
          <w:rFonts w:ascii="Avenir Book" w:eastAsia="Times New Roman" w:hAnsi="Avenir Book" w:cs="Arial"/>
          <w:color w:val="000000" w:themeColor="text1"/>
        </w:rPr>
        <w:t>-</w:t>
      </w:r>
      <w:r w:rsidRPr="008A1BB3">
        <w:rPr>
          <w:rFonts w:ascii="Avenir Book" w:eastAsia="Times New Roman" w:hAnsi="Avenir Book" w:cs="Arial"/>
          <w:color w:val="000000" w:themeColor="text1"/>
        </w:rPr>
        <w:t>led publishing into just another publishing model and integrate it into the existing systems. We aim to thoroughly rethink these systems and how they currently function</w:t>
      </w:r>
      <w:r>
        <w:rPr>
          <w:rFonts w:ascii="Avenir Book" w:eastAsia="Times New Roman" w:hAnsi="Avenir Book" w:cs="Arial"/>
          <w:color w:val="000000" w:themeColor="text1"/>
        </w:rPr>
        <w:t xml:space="preserve">. And this is quite a challenge, given Tsing’s reminder that we are trying to reimagine knowledge practices, which have been </w:t>
      </w:r>
      <w:proofErr w:type="gramStart"/>
      <w:r>
        <w:rPr>
          <w:rFonts w:ascii="Avenir Book" w:eastAsia="Times New Roman" w:hAnsi="Avenir Book" w:cs="Arial"/>
          <w:color w:val="000000" w:themeColor="text1"/>
        </w:rPr>
        <w:t>shaped  as</w:t>
      </w:r>
      <w:proofErr w:type="gramEnd"/>
      <w:r>
        <w:rPr>
          <w:rFonts w:ascii="Avenir Book" w:eastAsia="Times New Roman" w:hAnsi="Avenir Book" w:cs="Arial"/>
          <w:color w:val="000000" w:themeColor="text1"/>
        </w:rPr>
        <w:t xml:space="preserve"> part of a system that has historically developed and been continuously remade to encourage further scalability. </w:t>
      </w:r>
    </w:p>
    <w:p w14:paraId="6D0FB206" w14:textId="0DC62DD2" w:rsidR="00A02DDD" w:rsidRPr="0010007E" w:rsidRDefault="00A02DDD" w:rsidP="00A02DDD">
      <w:pPr>
        <w:spacing w:line="360" w:lineRule="auto"/>
        <w:ind w:firstLine="720"/>
        <w:jc w:val="both"/>
        <w:rPr>
          <w:rFonts w:ascii="Avenir Book" w:hAnsi="Avenir Book" w:cs="Times New Roman"/>
          <w:color w:val="000000" w:themeColor="text1"/>
          <w:spacing w:val="-8"/>
        </w:rPr>
      </w:pPr>
      <w:r w:rsidRPr="0010007E">
        <w:rPr>
          <w:rFonts w:ascii="Avenir Book" w:eastAsia="Times New Roman" w:hAnsi="Avenir Book" w:cs="Arial"/>
          <w:color w:val="000000" w:themeColor="text1"/>
        </w:rPr>
        <w:t xml:space="preserve">Following Tsing’s recommendation to pay attention to how reimagining our knowledge practices requires we pay particular attention to articulations between the scalable and the </w:t>
      </w:r>
      <w:proofErr w:type="spellStart"/>
      <w:r w:rsidRPr="0010007E">
        <w:rPr>
          <w:rFonts w:ascii="Avenir Book" w:eastAsia="Times New Roman" w:hAnsi="Avenir Book" w:cs="Arial"/>
          <w:color w:val="000000" w:themeColor="text1"/>
        </w:rPr>
        <w:t>nonscalable</w:t>
      </w:r>
      <w:proofErr w:type="spellEnd"/>
      <w:r w:rsidRPr="0010007E">
        <w:rPr>
          <w:rFonts w:ascii="Avenir Book" w:eastAsia="Times New Roman" w:hAnsi="Avenir Book" w:cs="Arial"/>
          <w:color w:val="000000" w:themeColor="text1"/>
        </w:rPr>
        <w:t xml:space="preserve"> what </w:t>
      </w:r>
      <w:r w:rsidRPr="0010007E">
        <w:rPr>
          <w:rFonts w:ascii="Avenir Book" w:hAnsi="Avenir Book" w:cs="Times New Roman"/>
          <w:color w:val="000000" w:themeColor="text1"/>
          <w:spacing w:val="-8"/>
        </w:rPr>
        <w:t>is needed to enable this is first and foremost a reimagining of what academic collectivity, community and commonality is and could be in a digital publishing environment. New forms of collaboration need to be </w:t>
      </w:r>
      <w:r w:rsidRPr="0010007E">
        <w:rPr>
          <w:rFonts w:ascii="Avenir Book" w:hAnsi="Avenir Book" w:cs="Times New Roman"/>
          <w:color w:val="000000" w:themeColor="text1"/>
          <w:spacing w:val="-8"/>
          <w:bdr w:val="none" w:sz="0" w:space="0" w:color="auto" w:frame="1"/>
        </w:rPr>
        <w:t xml:space="preserve">imagined in this sense, collaborations that won’t of necessity be able to scale, that focus on </w:t>
      </w:r>
      <w:proofErr w:type="spellStart"/>
      <w:r w:rsidRPr="0010007E">
        <w:rPr>
          <w:rFonts w:ascii="Avenir Book" w:eastAsia="Times New Roman" w:hAnsi="Avenir Book" w:cs="Times New Roman"/>
        </w:rPr>
        <w:t>nonscalable</w:t>
      </w:r>
      <w:proofErr w:type="spellEnd"/>
      <w:r w:rsidRPr="0010007E">
        <w:rPr>
          <w:rFonts w:ascii="Avenir Book" w:eastAsia="Times New Roman" w:hAnsi="Avenir Book" w:cs="Times New Roman"/>
        </w:rPr>
        <w:t xml:space="preserve"> modes of valuation</w:t>
      </w:r>
      <w:r w:rsidRPr="0010007E">
        <w:rPr>
          <w:rFonts w:ascii="Avenir Book" w:hAnsi="Avenir Book" w:cs="Times New Roman"/>
          <w:color w:val="000000" w:themeColor="text1"/>
          <w:spacing w:val="-8"/>
          <w:bdr w:val="none" w:sz="0" w:space="0" w:color="auto" w:frame="1"/>
        </w:rPr>
        <w:t xml:space="preserve"> or g</w:t>
      </w:r>
      <w:r w:rsidR="0010007E" w:rsidRPr="0010007E">
        <w:rPr>
          <w:rFonts w:ascii="Avenir Book" w:hAnsi="Avenir Book" w:cs="Times New Roman"/>
          <w:color w:val="000000" w:themeColor="text1"/>
          <w:spacing w:val="-8"/>
          <w:bdr w:val="none" w:sz="0" w:space="0" w:color="auto" w:frame="1"/>
        </w:rPr>
        <w:t>i</w:t>
      </w:r>
      <w:r w:rsidRPr="0010007E">
        <w:rPr>
          <w:rFonts w:ascii="Avenir Book" w:hAnsi="Avenir Book" w:cs="Times New Roman"/>
          <w:color w:val="000000" w:themeColor="text1"/>
          <w:spacing w:val="-8"/>
          <w:bdr w:val="none" w:sz="0" w:space="0" w:color="auto" w:frame="1"/>
        </w:rPr>
        <w:t>ft economies or that showcase the work, messiness and issues that arise when we do scale, an actively engages with them instead of pushing this difficulty out in the search for a more uniform and easier to scale model</w:t>
      </w:r>
      <w:r w:rsidRPr="0010007E">
        <w:rPr>
          <w:rFonts w:ascii="Avenir Book" w:hAnsi="Avenir Book" w:cs="Times New Roman"/>
          <w:color w:val="000000" w:themeColor="text1"/>
          <w:spacing w:val="-8"/>
        </w:rPr>
        <w:t>.  It is about pointing</w:t>
      </w:r>
      <w:bookmarkStart w:id="0" w:name="_GoBack"/>
      <w:bookmarkEnd w:id="0"/>
      <w:r w:rsidRPr="0010007E">
        <w:rPr>
          <w:rFonts w:ascii="Avenir Book" w:hAnsi="Avenir Book" w:cs="Times New Roman"/>
          <w:color w:val="000000" w:themeColor="text1"/>
          <w:spacing w:val="-8"/>
        </w:rPr>
        <w:t xml:space="preserve"> out </w:t>
      </w:r>
      <w:r w:rsidRPr="0010007E">
        <w:rPr>
          <w:rFonts w:ascii="Avenir Book" w:hAnsi="Avenir Book" w:cs="Times"/>
          <w:color w:val="141413"/>
        </w:rPr>
        <w:t>where scalability fails—</w:t>
      </w:r>
      <w:r w:rsidRPr="0010007E">
        <w:rPr>
          <w:rFonts w:ascii="Avenir Book" w:hAnsi="Avenir Book" w:cs="Times"/>
          <w:color w:val="141413"/>
        </w:rPr>
        <w:lastRenderedPageBreak/>
        <w:t xml:space="preserve">and where </w:t>
      </w:r>
      <w:proofErr w:type="spellStart"/>
      <w:r w:rsidRPr="0010007E">
        <w:rPr>
          <w:rFonts w:ascii="Avenir Book" w:hAnsi="Avenir Book" w:cs="Times"/>
          <w:color w:val="141413"/>
        </w:rPr>
        <w:t>nonscalable</w:t>
      </w:r>
      <w:proofErr w:type="spellEnd"/>
      <w:r w:rsidRPr="0010007E">
        <w:rPr>
          <w:rFonts w:ascii="Avenir Book" w:hAnsi="Avenir Book" w:cs="Times"/>
          <w:color w:val="141413"/>
        </w:rPr>
        <w:t xml:space="preserve"> relations erupt. </w:t>
      </w:r>
      <w:r w:rsidRPr="0010007E">
        <w:rPr>
          <w:rFonts w:ascii="Avenir Book" w:hAnsi="Avenir Book" w:cs="Times New Roman"/>
          <w:color w:val="000000" w:themeColor="text1"/>
          <w:spacing w:val="-8"/>
        </w:rPr>
        <w:t>Reimagining the relations within the publishing system beyond a mere </w:t>
      </w:r>
      <w:r w:rsidRPr="0010007E">
        <w:rPr>
          <w:rFonts w:ascii="Avenir Book" w:hAnsi="Avenir Book" w:cs="Times New Roman"/>
          <w:color w:val="000000" w:themeColor="text1"/>
          <w:spacing w:val="-8"/>
          <w:bdr w:val="none" w:sz="0" w:space="0" w:color="auto" w:frame="1"/>
        </w:rPr>
        <w:t>calculative</w:t>
      </w:r>
      <w:r w:rsidRPr="0010007E">
        <w:rPr>
          <w:rFonts w:ascii="Avenir Book" w:hAnsi="Avenir Book" w:cs="Times New Roman"/>
          <w:color w:val="000000" w:themeColor="text1"/>
          <w:spacing w:val="-8"/>
        </w:rPr>
        <w:t xml:space="preserve"> logic focused on assessing the sustainability </w:t>
      </w:r>
    </w:p>
    <w:p w14:paraId="0E2D7CD4" w14:textId="77777777" w:rsidR="00A02DDD" w:rsidRPr="0010007E" w:rsidRDefault="00A02DDD" w:rsidP="00A02DDD">
      <w:pPr>
        <w:spacing w:line="360" w:lineRule="auto"/>
        <w:ind w:firstLine="720"/>
        <w:jc w:val="both"/>
        <w:rPr>
          <w:rFonts w:ascii="Avenir Book" w:eastAsia="Times New Roman" w:hAnsi="Avenir Book" w:cs="Arial"/>
          <w:color w:val="000000" w:themeColor="text1"/>
        </w:rPr>
      </w:pPr>
      <w:r w:rsidRPr="0010007E">
        <w:rPr>
          <w:rFonts w:ascii="Avenir Book" w:hAnsi="Avenir Book" w:cs="Times New Roman"/>
          <w:color w:val="000000" w:themeColor="text1"/>
          <w:spacing w:val="-8"/>
        </w:rPr>
        <w:t xml:space="preserve">of alternative models, is essential in a not-for-profit open access publishing environment, in order to enable these new forms of collaboration and to redefine the future of scholarly publishing in more communal settings. </w:t>
      </w:r>
    </w:p>
    <w:p w14:paraId="26A9EAAF" w14:textId="77777777" w:rsidR="00BE3B02" w:rsidRDefault="008E7259"/>
    <w:sectPr w:rsidR="00BE3B02" w:rsidSect="00296B1A">
      <w:footerReference w:type="even" r:id="rId15"/>
      <w:footerReference w:type="defaul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3D7381B" w14:textId="77777777" w:rsidR="008E7259" w:rsidRDefault="008E7259" w:rsidP="0010007E">
      <w:r>
        <w:separator/>
      </w:r>
    </w:p>
  </w:endnote>
  <w:endnote w:type="continuationSeparator" w:id="0">
    <w:p w14:paraId="40947241" w14:textId="77777777" w:rsidR="008E7259" w:rsidRDefault="008E7259" w:rsidP="001000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Avenir Book">
    <w:altName w:val="Corbel"/>
    <w:panose1 w:val="02000503020000020003"/>
    <w:charset w:val="00"/>
    <w:family w:val="auto"/>
    <w:pitch w:val="variable"/>
    <w:sig w:usb0="800000AF" w:usb1="5000204A" w:usb2="00000000" w:usb3="00000000" w:csb0="0000009B" w:csb1="00000000"/>
  </w:font>
  <w:font w:name="Times">
    <w:panose1 w:val="00000500000000020000"/>
    <w:charset w:val="00"/>
    <w:family w:val="auto"/>
    <w:pitch w:val="variable"/>
    <w:sig w:usb0="E00002FF" w:usb1="5000205A"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260681568"/>
      <w:docPartObj>
        <w:docPartGallery w:val="Page Numbers (Bottom of Page)"/>
        <w:docPartUnique/>
      </w:docPartObj>
    </w:sdtPr>
    <w:sdtContent>
      <w:p w14:paraId="3E77BBED" w14:textId="1C5D0180" w:rsidR="0010007E" w:rsidRDefault="0010007E" w:rsidP="0010007E">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1FC1329" w14:textId="77777777" w:rsidR="0010007E" w:rsidRDefault="0010007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498844089"/>
      <w:docPartObj>
        <w:docPartGallery w:val="Page Numbers (Bottom of Page)"/>
        <w:docPartUnique/>
      </w:docPartObj>
    </w:sdtPr>
    <w:sdtContent>
      <w:p w14:paraId="29F7575B" w14:textId="152B60CE" w:rsidR="0010007E" w:rsidRDefault="0010007E" w:rsidP="0010007E">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6E2C0637" w14:textId="77777777" w:rsidR="0010007E" w:rsidRDefault="0010007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2DCEAF3" w14:textId="77777777" w:rsidR="008E7259" w:rsidRDefault="008E7259" w:rsidP="0010007E">
      <w:r>
        <w:separator/>
      </w:r>
    </w:p>
  </w:footnote>
  <w:footnote w:type="continuationSeparator" w:id="0">
    <w:p w14:paraId="34628257" w14:textId="77777777" w:rsidR="008E7259" w:rsidRDefault="008E7259" w:rsidP="0010007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2DDD"/>
    <w:rsid w:val="0010007E"/>
    <w:rsid w:val="00296B1A"/>
    <w:rsid w:val="005C335F"/>
    <w:rsid w:val="008E7259"/>
    <w:rsid w:val="00A02D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2714E326"/>
  <w15:chartTrackingRefBased/>
  <w15:docId w15:val="{BD933581-F3BE-1F46-A36E-66FB41E492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02DDD"/>
  </w:style>
  <w:style w:type="paragraph" w:styleId="Heading2">
    <w:name w:val="heading 2"/>
    <w:basedOn w:val="Normal"/>
    <w:link w:val="Heading2Char"/>
    <w:uiPriority w:val="9"/>
    <w:qFormat/>
    <w:rsid w:val="00A02DDD"/>
    <w:pPr>
      <w:spacing w:before="100" w:beforeAutospacing="1" w:after="100" w:afterAutospacing="1"/>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A02DDD"/>
    <w:rPr>
      <w:rFonts w:ascii="Times New Roman" w:eastAsia="Times New Roman" w:hAnsi="Times New Roman" w:cs="Times New Roman"/>
      <w:b/>
      <w:bCs/>
      <w:sz w:val="36"/>
      <w:szCs w:val="36"/>
    </w:rPr>
  </w:style>
  <w:style w:type="character" w:customStyle="1" w:styleId="apple-converted-space">
    <w:name w:val="apple-converted-space"/>
    <w:basedOn w:val="DefaultParagraphFont"/>
    <w:rsid w:val="00A02DDD"/>
  </w:style>
  <w:style w:type="paragraph" w:customStyle="1" w:styleId="p1">
    <w:name w:val="p1"/>
    <w:basedOn w:val="Normal"/>
    <w:rsid w:val="00A02DDD"/>
    <w:rPr>
      <w:rFonts w:ascii="Arial" w:hAnsi="Arial" w:cs="Arial"/>
      <w:sz w:val="17"/>
      <w:szCs w:val="17"/>
    </w:rPr>
  </w:style>
  <w:style w:type="paragraph" w:customStyle="1" w:styleId="bodytext">
    <w:name w:val="bodytext"/>
    <w:basedOn w:val="Normal"/>
    <w:rsid w:val="00A02DDD"/>
    <w:pPr>
      <w:spacing w:before="100" w:beforeAutospacing="1" w:after="100" w:afterAutospacing="1"/>
    </w:pPr>
    <w:rPr>
      <w:rFonts w:ascii="Times New Roman" w:hAnsi="Times New Roman" w:cs="Times New Roman"/>
    </w:rPr>
  </w:style>
  <w:style w:type="paragraph" w:styleId="Footer">
    <w:name w:val="footer"/>
    <w:basedOn w:val="Normal"/>
    <w:link w:val="FooterChar"/>
    <w:uiPriority w:val="99"/>
    <w:unhideWhenUsed/>
    <w:rsid w:val="0010007E"/>
    <w:pPr>
      <w:tabs>
        <w:tab w:val="center" w:pos="4680"/>
        <w:tab w:val="right" w:pos="9360"/>
      </w:tabs>
    </w:pPr>
  </w:style>
  <w:style w:type="character" w:customStyle="1" w:styleId="FooterChar">
    <w:name w:val="Footer Char"/>
    <w:basedOn w:val="DefaultParagraphFont"/>
    <w:link w:val="Footer"/>
    <w:uiPriority w:val="99"/>
    <w:rsid w:val="0010007E"/>
  </w:style>
  <w:style w:type="character" w:styleId="PageNumber">
    <w:name w:val="page number"/>
    <w:basedOn w:val="DefaultParagraphFont"/>
    <w:uiPriority w:val="99"/>
    <w:semiHidden/>
    <w:unhideWhenUsed/>
    <w:rsid w:val="0010007E"/>
  </w:style>
  <w:style w:type="paragraph" w:styleId="BalloonText">
    <w:name w:val="Balloon Text"/>
    <w:basedOn w:val="Normal"/>
    <w:link w:val="BalloonTextChar"/>
    <w:uiPriority w:val="99"/>
    <w:semiHidden/>
    <w:unhideWhenUsed/>
    <w:rsid w:val="0010007E"/>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10007E"/>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216855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8.emf"/><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emf"/><Relationship Id="rId12" Type="http://schemas.openxmlformats.org/officeDocument/2006/relationships/image" Target="media/image7.emf"/><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2.xml"/><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image" Target="media/image6.emf"/><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image" Target="media/image5.emf"/><Relationship Id="rId4" Type="http://schemas.openxmlformats.org/officeDocument/2006/relationships/footnotes" Target="footnotes.xml"/><Relationship Id="rId9" Type="http://schemas.openxmlformats.org/officeDocument/2006/relationships/image" Target="media/image4.emf"/><Relationship Id="rId14" Type="http://schemas.openxmlformats.org/officeDocument/2006/relationships/image" Target="media/image9.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10</Pages>
  <Words>2018</Words>
  <Characters>12576</Characters>
  <Application>Microsoft Office Word</Application>
  <DocSecurity>0</DocSecurity>
  <Lines>339</Lines>
  <Paragraphs>171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dc:creator>
  <cp:keywords/>
  <dc:description/>
  <cp:lastModifiedBy>JA</cp:lastModifiedBy>
  <cp:revision>1</cp:revision>
  <dcterms:created xsi:type="dcterms:W3CDTF">2018-11-19T14:08:00Z</dcterms:created>
  <dcterms:modified xsi:type="dcterms:W3CDTF">2018-11-19T14:13:00Z</dcterms:modified>
</cp:coreProperties>
</file>